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4C42"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1CD25A3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2034D5B3" w14:textId="77777777" w:rsidTr="00C822F5">
        <w:tc>
          <w:tcPr>
            <w:tcW w:w="3205" w:type="dxa"/>
            <w:shd w:val="clear" w:color="auto" w:fill="DDD9C3"/>
          </w:tcPr>
          <w:p w14:paraId="4CDAD7F3" w14:textId="77777777" w:rsidR="005D23EB" w:rsidRPr="00994182" w:rsidRDefault="005D23EB" w:rsidP="00C822F5">
            <w:pPr>
              <w:jc w:val="right"/>
              <w:rPr>
                <w:rFonts w:ascii="Cambria" w:hAnsi="Cambria" w:cs="Arial"/>
                <w:b/>
                <w:sz w:val="22"/>
                <w:szCs w:val="22"/>
                <w:lang w:val="en-GB"/>
              </w:rPr>
            </w:pPr>
            <w:r w:rsidRPr="00994182">
              <w:rPr>
                <w:rFonts w:ascii="Cambria" w:hAnsi="Cambria" w:cs="Arial"/>
                <w:b/>
                <w:sz w:val="22"/>
                <w:szCs w:val="22"/>
                <w:lang w:val="en-GB"/>
              </w:rPr>
              <w:t>SCHOOL</w:t>
            </w:r>
          </w:p>
        </w:tc>
        <w:tc>
          <w:tcPr>
            <w:tcW w:w="5231" w:type="dxa"/>
            <w:gridSpan w:val="5"/>
          </w:tcPr>
          <w:p w14:paraId="029B706E" w14:textId="77777777" w:rsidR="005D23EB" w:rsidRPr="00994182" w:rsidRDefault="00C45CAD" w:rsidP="00C822F5">
            <w:pPr>
              <w:rPr>
                <w:rFonts w:ascii="Cambria" w:hAnsi="Cambria" w:cs="Arial"/>
                <w:color w:val="002060"/>
                <w:sz w:val="22"/>
                <w:szCs w:val="22"/>
                <w:lang w:val="en-GB"/>
              </w:rPr>
            </w:pPr>
            <w:r w:rsidRPr="00994182">
              <w:rPr>
                <w:rFonts w:ascii="Cambria" w:hAnsi="Cambria" w:cs="Arial"/>
                <w:color w:val="002060"/>
                <w:sz w:val="22"/>
                <w:szCs w:val="22"/>
                <w:lang w:val="en-GB"/>
              </w:rPr>
              <w:t>School of Health Sciences</w:t>
            </w:r>
          </w:p>
        </w:tc>
      </w:tr>
      <w:tr w:rsidR="005D23EB" w:rsidRPr="006403CB" w14:paraId="05C6D6BB" w14:textId="77777777" w:rsidTr="00C822F5">
        <w:tc>
          <w:tcPr>
            <w:tcW w:w="3205" w:type="dxa"/>
            <w:shd w:val="clear" w:color="auto" w:fill="DDD9C3"/>
          </w:tcPr>
          <w:p w14:paraId="25F6EE2D" w14:textId="77777777" w:rsidR="005D23EB" w:rsidRPr="00994182" w:rsidRDefault="005D23EB" w:rsidP="00C822F5">
            <w:pPr>
              <w:jc w:val="right"/>
              <w:rPr>
                <w:rFonts w:ascii="Cambria" w:hAnsi="Cambria" w:cs="Arial"/>
                <w:b/>
                <w:sz w:val="22"/>
                <w:szCs w:val="22"/>
                <w:lang w:val="en-GB"/>
              </w:rPr>
            </w:pPr>
            <w:r w:rsidRPr="00994182">
              <w:rPr>
                <w:rFonts w:ascii="Cambria" w:hAnsi="Cambria" w:cs="Arial"/>
                <w:b/>
                <w:sz w:val="22"/>
                <w:szCs w:val="22"/>
                <w:lang w:val="en-GB"/>
              </w:rPr>
              <w:t>ACADEMIC UNIT</w:t>
            </w:r>
          </w:p>
        </w:tc>
        <w:tc>
          <w:tcPr>
            <w:tcW w:w="5231" w:type="dxa"/>
            <w:gridSpan w:val="5"/>
          </w:tcPr>
          <w:p w14:paraId="0D1BFD08" w14:textId="77777777" w:rsidR="005D23EB" w:rsidRPr="00994182" w:rsidRDefault="00C45CAD" w:rsidP="00C822F5">
            <w:pPr>
              <w:rPr>
                <w:rFonts w:asciiTheme="majorHAnsi" w:hAnsiTheme="majorHAnsi" w:cs="Arial"/>
                <w:color w:val="002060"/>
                <w:sz w:val="22"/>
                <w:szCs w:val="22"/>
                <w:lang w:val="en-GB"/>
              </w:rPr>
            </w:pPr>
            <w:r w:rsidRPr="00994182">
              <w:rPr>
                <w:rFonts w:asciiTheme="majorHAnsi" w:hAnsiTheme="majorHAnsi" w:cs="Arial"/>
                <w:color w:val="002060"/>
                <w:sz w:val="22"/>
                <w:szCs w:val="22"/>
                <w:lang w:val="en-GB"/>
              </w:rPr>
              <w:t>Faculty of Medicine</w:t>
            </w:r>
          </w:p>
        </w:tc>
      </w:tr>
      <w:tr w:rsidR="005D23EB" w:rsidRPr="006403CB" w14:paraId="0E108C64" w14:textId="77777777" w:rsidTr="00C822F5">
        <w:tc>
          <w:tcPr>
            <w:tcW w:w="3205" w:type="dxa"/>
            <w:shd w:val="clear" w:color="auto" w:fill="DDD9C3"/>
          </w:tcPr>
          <w:p w14:paraId="3828679A" w14:textId="77777777" w:rsidR="005D23EB" w:rsidRPr="00994182" w:rsidRDefault="005D23EB" w:rsidP="00C822F5">
            <w:pPr>
              <w:jc w:val="right"/>
              <w:rPr>
                <w:rFonts w:ascii="Cambria" w:hAnsi="Cambria" w:cs="Arial"/>
                <w:b/>
                <w:sz w:val="22"/>
                <w:szCs w:val="22"/>
                <w:lang w:val="en-GB"/>
              </w:rPr>
            </w:pPr>
            <w:r w:rsidRPr="00994182">
              <w:rPr>
                <w:rFonts w:ascii="Cambria" w:hAnsi="Cambria" w:cs="Arial"/>
                <w:b/>
                <w:sz w:val="22"/>
                <w:szCs w:val="22"/>
                <w:lang w:val="en-GB"/>
              </w:rPr>
              <w:t>LEVEL OF STUDIES</w:t>
            </w:r>
          </w:p>
        </w:tc>
        <w:tc>
          <w:tcPr>
            <w:tcW w:w="5231" w:type="dxa"/>
            <w:gridSpan w:val="5"/>
          </w:tcPr>
          <w:p w14:paraId="011B441C" w14:textId="77777777" w:rsidR="005D23EB" w:rsidRPr="00994182" w:rsidRDefault="003E42F6" w:rsidP="00C822F5">
            <w:pPr>
              <w:rPr>
                <w:rFonts w:asciiTheme="majorHAnsi" w:hAnsiTheme="majorHAnsi" w:cs="Arial"/>
                <w:color w:val="002060"/>
                <w:sz w:val="22"/>
                <w:szCs w:val="22"/>
              </w:rPr>
            </w:pPr>
            <w:r w:rsidRPr="00994182">
              <w:rPr>
                <w:rFonts w:asciiTheme="majorHAnsi" w:hAnsiTheme="majorHAnsi" w:cs="Arial"/>
                <w:color w:val="002060"/>
                <w:sz w:val="22"/>
                <w:szCs w:val="22"/>
              </w:rPr>
              <w:t>Undergraduate</w:t>
            </w:r>
          </w:p>
        </w:tc>
      </w:tr>
      <w:tr w:rsidR="005D23EB" w:rsidRPr="006403CB" w14:paraId="53F3604E" w14:textId="77777777" w:rsidTr="00C822F5">
        <w:tc>
          <w:tcPr>
            <w:tcW w:w="3205" w:type="dxa"/>
            <w:shd w:val="clear" w:color="auto" w:fill="DDD9C3"/>
          </w:tcPr>
          <w:p w14:paraId="2BE67DDF" w14:textId="77777777" w:rsidR="005D23EB" w:rsidRPr="00994182" w:rsidRDefault="005D23EB" w:rsidP="00C822F5">
            <w:pPr>
              <w:jc w:val="right"/>
              <w:rPr>
                <w:rFonts w:ascii="Cambria" w:hAnsi="Cambria" w:cs="Arial"/>
                <w:b/>
                <w:sz w:val="22"/>
                <w:szCs w:val="22"/>
                <w:lang w:val="en-GB"/>
              </w:rPr>
            </w:pPr>
            <w:r w:rsidRPr="00994182">
              <w:rPr>
                <w:rFonts w:ascii="Cambria" w:hAnsi="Cambria" w:cs="Arial"/>
                <w:b/>
                <w:sz w:val="22"/>
                <w:szCs w:val="22"/>
                <w:lang w:val="en-GB"/>
              </w:rPr>
              <w:t>COURSE CODE</w:t>
            </w:r>
          </w:p>
        </w:tc>
        <w:tc>
          <w:tcPr>
            <w:tcW w:w="1135" w:type="dxa"/>
          </w:tcPr>
          <w:p w14:paraId="44779310" w14:textId="77777777" w:rsidR="005D23EB" w:rsidRPr="00994182" w:rsidRDefault="00002F20" w:rsidP="00C822F5">
            <w:pPr>
              <w:rPr>
                <w:rFonts w:asciiTheme="majorHAnsi" w:hAnsiTheme="majorHAnsi" w:cs="Arial"/>
                <w:b/>
                <w:bCs/>
                <w:color w:val="244061" w:themeColor="accent1" w:themeShade="80"/>
                <w:sz w:val="22"/>
                <w:szCs w:val="22"/>
              </w:rPr>
            </w:pPr>
            <w:r w:rsidRPr="00994182">
              <w:rPr>
                <w:rFonts w:asciiTheme="majorHAnsi" w:hAnsiTheme="majorHAnsi"/>
                <w:color w:val="244061" w:themeColor="accent1" w:themeShade="80"/>
                <w:sz w:val="22"/>
                <w:szCs w:val="22"/>
              </w:rPr>
              <w:t>IAE 805</w:t>
            </w:r>
          </w:p>
        </w:tc>
        <w:tc>
          <w:tcPr>
            <w:tcW w:w="2505" w:type="dxa"/>
            <w:gridSpan w:val="2"/>
            <w:shd w:val="clear" w:color="auto" w:fill="DDD9C3"/>
          </w:tcPr>
          <w:p w14:paraId="3A51B41A" w14:textId="77777777" w:rsidR="005D23EB" w:rsidRPr="00994182" w:rsidRDefault="005D23EB" w:rsidP="00C822F5">
            <w:pPr>
              <w:jc w:val="right"/>
              <w:rPr>
                <w:rFonts w:ascii="Cambria" w:hAnsi="Cambria" w:cs="Arial"/>
                <w:b/>
                <w:sz w:val="22"/>
                <w:szCs w:val="22"/>
                <w:lang w:val="en-GB"/>
              </w:rPr>
            </w:pPr>
            <w:r w:rsidRPr="00994182">
              <w:rPr>
                <w:rFonts w:ascii="Cambria" w:hAnsi="Cambria" w:cs="Arial"/>
                <w:b/>
                <w:sz w:val="22"/>
                <w:szCs w:val="22"/>
                <w:lang w:val="en-GB"/>
              </w:rPr>
              <w:t>SEMESTER</w:t>
            </w:r>
          </w:p>
        </w:tc>
        <w:tc>
          <w:tcPr>
            <w:tcW w:w="1591" w:type="dxa"/>
            <w:gridSpan w:val="2"/>
          </w:tcPr>
          <w:p w14:paraId="6B771F29" w14:textId="77777777" w:rsidR="005D23EB" w:rsidRPr="00994182" w:rsidRDefault="00002F20" w:rsidP="00C822F5">
            <w:pPr>
              <w:rPr>
                <w:rFonts w:asciiTheme="majorHAnsi" w:hAnsiTheme="majorHAnsi" w:cs="Arial"/>
                <w:b/>
                <w:color w:val="244061" w:themeColor="accent1" w:themeShade="80"/>
                <w:sz w:val="22"/>
                <w:szCs w:val="22"/>
              </w:rPr>
            </w:pPr>
            <w:r w:rsidRPr="00994182">
              <w:rPr>
                <w:rFonts w:asciiTheme="majorHAnsi" w:hAnsiTheme="majorHAnsi"/>
                <w:color w:val="244061" w:themeColor="accent1" w:themeShade="80"/>
                <w:sz w:val="22"/>
                <w:szCs w:val="22"/>
              </w:rPr>
              <w:t>8th</w:t>
            </w:r>
            <w:r w:rsidRPr="00994182">
              <w:rPr>
                <w:rFonts w:asciiTheme="majorHAnsi" w:hAnsiTheme="majorHAnsi"/>
                <w:color w:val="244061" w:themeColor="accent1" w:themeShade="80"/>
                <w:sz w:val="22"/>
                <w:szCs w:val="22"/>
              </w:rPr>
              <w:br/>
            </w:r>
          </w:p>
        </w:tc>
      </w:tr>
      <w:tr w:rsidR="005D23EB" w:rsidRPr="006403CB" w14:paraId="3322A0E4" w14:textId="77777777" w:rsidTr="00C822F5">
        <w:trPr>
          <w:trHeight w:val="375"/>
        </w:trPr>
        <w:tc>
          <w:tcPr>
            <w:tcW w:w="3205" w:type="dxa"/>
            <w:shd w:val="clear" w:color="auto" w:fill="DDD9C3"/>
            <w:vAlign w:val="center"/>
          </w:tcPr>
          <w:p w14:paraId="3AC26648" w14:textId="77777777" w:rsidR="005D23EB" w:rsidRPr="00994182" w:rsidRDefault="005D23EB" w:rsidP="00C822F5">
            <w:pPr>
              <w:jc w:val="right"/>
              <w:rPr>
                <w:rFonts w:ascii="Cambria" w:hAnsi="Cambria" w:cs="Arial"/>
                <w:b/>
                <w:sz w:val="22"/>
                <w:szCs w:val="22"/>
                <w:lang w:val="en-GB"/>
              </w:rPr>
            </w:pPr>
            <w:r w:rsidRPr="00994182">
              <w:rPr>
                <w:rFonts w:ascii="Cambria" w:hAnsi="Cambria" w:cs="Arial"/>
                <w:b/>
                <w:sz w:val="22"/>
                <w:szCs w:val="22"/>
                <w:lang w:val="en-GB"/>
              </w:rPr>
              <w:t>COURSE TITLE</w:t>
            </w:r>
          </w:p>
        </w:tc>
        <w:tc>
          <w:tcPr>
            <w:tcW w:w="5231" w:type="dxa"/>
            <w:gridSpan w:val="5"/>
            <w:vAlign w:val="center"/>
          </w:tcPr>
          <w:p w14:paraId="4EDA98BE" w14:textId="77777777" w:rsidR="005D23EB" w:rsidRPr="00994182" w:rsidRDefault="00002F20" w:rsidP="00C822F5">
            <w:pPr>
              <w:rPr>
                <w:rFonts w:asciiTheme="majorHAnsi" w:hAnsiTheme="majorHAnsi" w:cs="Arial"/>
                <w:b/>
                <w:color w:val="244061" w:themeColor="accent1" w:themeShade="80"/>
                <w:sz w:val="22"/>
                <w:szCs w:val="22"/>
                <w:lang w:val="en-GB"/>
              </w:rPr>
            </w:pPr>
            <w:r w:rsidRPr="00994182">
              <w:rPr>
                <w:rFonts w:asciiTheme="majorHAnsi" w:hAnsiTheme="majorHAnsi"/>
                <w:color w:val="244061" w:themeColor="accent1" w:themeShade="80"/>
                <w:sz w:val="22"/>
                <w:szCs w:val="22"/>
              </w:rPr>
              <w:t>Reproductive Endocrinology and Infertility</w:t>
            </w:r>
          </w:p>
        </w:tc>
      </w:tr>
      <w:tr w:rsidR="005D23EB" w:rsidRPr="006403CB" w14:paraId="643DEE9B" w14:textId="77777777" w:rsidTr="00C822F5">
        <w:trPr>
          <w:trHeight w:val="196"/>
        </w:trPr>
        <w:tc>
          <w:tcPr>
            <w:tcW w:w="5637" w:type="dxa"/>
            <w:gridSpan w:val="3"/>
            <w:shd w:val="clear" w:color="auto" w:fill="DDD9C3"/>
            <w:vAlign w:val="center"/>
          </w:tcPr>
          <w:p w14:paraId="52832BE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0D39594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6C21B587"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43BFCA2D" w14:textId="77777777" w:rsidTr="00C822F5">
        <w:trPr>
          <w:trHeight w:val="194"/>
        </w:trPr>
        <w:tc>
          <w:tcPr>
            <w:tcW w:w="5637" w:type="dxa"/>
            <w:gridSpan w:val="3"/>
          </w:tcPr>
          <w:p w14:paraId="36F7A62C"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55AEB51C" w14:textId="77777777" w:rsidR="005D23EB" w:rsidRPr="00002F20" w:rsidRDefault="00002F20" w:rsidP="00C822F5">
            <w:pPr>
              <w:jc w:val="center"/>
              <w:rPr>
                <w:rFonts w:ascii="Cambria" w:hAnsi="Cambria" w:cs="Arial"/>
                <w:color w:val="002060"/>
                <w:sz w:val="20"/>
                <w:szCs w:val="20"/>
                <w:lang w:val="el-GR"/>
              </w:rPr>
            </w:pPr>
            <w:r>
              <w:rPr>
                <w:rFonts w:ascii="Cambria" w:hAnsi="Cambria" w:cs="Arial"/>
                <w:color w:val="002060"/>
                <w:sz w:val="20"/>
                <w:szCs w:val="20"/>
                <w:lang w:val="el-GR"/>
              </w:rPr>
              <w:t>2</w:t>
            </w:r>
          </w:p>
        </w:tc>
        <w:tc>
          <w:tcPr>
            <w:tcW w:w="1240" w:type="dxa"/>
          </w:tcPr>
          <w:p w14:paraId="2A66C5D2" w14:textId="77777777" w:rsidR="005D23EB" w:rsidRPr="00002F20" w:rsidRDefault="00002F20" w:rsidP="00C822F5">
            <w:pPr>
              <w:jc w:val="center"/>
              <w:rPr>
                <w:rFonts w:ascii="Cambria" w:hAnsi="Cambria" w:cs="Arial"/>
                <w:color w:val="002060"/>
                <w:sz w:val="20"/>
                <w:szCs w:val="20"/>
                <w:lang w:val="el-GR"/>
              </w:rPr>
            </w:pPr>
            <w:r>
              <w:rPr>
                <w:rFonts w:ascii="Cambria" w:hAnsi="Cambria" w:cs="Arial"/>
                <w:color w:val="002060"/>
                <w:sz w:val="20"/>
                <w:szCs w:val="20"/>
                <w:lang w:val="el-GR"/>
              </w:rPr>
              <w:t>2</w:t>
            </w:r>
          </w:p>
        </w:tc>
      </w:tr>
      <w:tr w:rsidR="005D23EB" w:rsidRPr="006403CB" w14:paraId="11C6DDC4" w14:textId="77777777" w:rsidTr="00C822F5">
        <w:trPr>
          <w:trHeight w:val="194"/>
        </w:trPr>
        <w:tc>
          <w:tcPr>
            <w:tcW w:w="5637" w:type="dxa"/>
            <w:gridSpan w:val="3"/>
          </w:tcPr>
          <w:p w14:paraId="2FBC05BA"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5B348131"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084D1FBA" w14:textId="77777777" w:rsidR="005D23EB" w:rsidRPr="006403CB" w:rsidRDefault="005D23EB" w:rsidP="00C822F5">
            <w:pPr>
              <w:rPr>
                <w:rFonts w:ascii="Cambria" w:hAnsi="Cambria" w:cs="Arial"/>
                <w:color w:val="002060"/>
                <w:sz w:val="20"/>
                <w:szCs w:val="20"/>
                <w:lang w:val="en-GB"/>
              </w:rPr>
            </w:pPr>
          </w:p>
        </w:tc>
      </w:tr>
      <w:tr w:rsidR="005D23EB" w:rsidRPr="006403CB" w14:paraId="35FE8981" w14:textId="77777777" w:rsidTr="00C822F5">
        <w:trPr>
          <w:trHeight w:val="194"/>
        </w:trPr>
        <w:tc>
          <w:tcPr>
            <w:tcW w:w="5637" w:type="dxa"/>
            <w:gridSpan w:val="3"/>
          </w:tcPr>
          <w:p w14:paraId="15366EB7"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64421308"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5E10EB8" w14:textId="77777777" w:rsidR="005D23EB" w:rsidRPr="006403CB" w:rsidRDefault="005D23EB" w:rsidP="00C822F5">
            <w:pPr>
              <w:rPr>
                <w:rFonts w:ascii="Cambria" w:hAnsi="Cambria" w:cs="Arial"/>
                <w:color w:val="002060"/>
                <w:sz w:val="20"/>
                <w:szCs w:val="20"/>
                <w:lang w:val="en-GB"/>
              </w:rPr>
            </w:pPr>
          </w:p>
        </w:tc>
      </w:tr>
      <w:tr w:rsidR="005D23EB" w:rsidRPr="006403CB" w14:paraId="0C3E029D" w14:textId="77777777" w:rsidTr="00C822F5">
        <w:trPr>
          <w:trHeight w:val="194"/>
        </w:trPr>
        <w:tc>
          <w:tcPr>
            <w:tcW w:w="5637" w:type="dxa"/>
            <w:gridSpan w:val="3"/>
            <w:shd w:val="clear" w:color="auto" w:fill="DDD9C3"/>
          </w:tcPr>
          <w:p w14:paraId="00EDD97B"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3FBCFF54"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09C0378" w14:textId="77777777" w:rsidR="005D23EB" w:rsidRPr="006403CB" w:rsidRDefault="005D23EB" w:rsidP="00C822F5">
            <w:pPr>
              <w:rPr>
                <w:rFonts w:ascii="Cambria" w:hAnsi="Cambria" w:cs="Arial"/>
                <w:color w:val="002060"/>
                <w:sz w:val="20"/>
                <w:szCs w:val="20"/>
                <w:lang w:val="en-GB"/>
              </w:rPr>
            </w:pPr>
          </w:p>
        </w:tc>
      </w:tr>
      <w:tr w:rsidR="005D23EB" w:rsidRPr="006403CB" w14:paraId="605C038A" w14:textId="77777777" w:rsidTr="00C822F5">
        <w:trPr>
          <w:trHeight w:val="599"/>
        </w:trPr>
        <w:tc>
          <w:tcPr>
            <w:tcW w:w="3205" w:type="dxa"/>
            <w:shd w:val="clear" w:color="auto" w:fill="DDD9C3"/>
          </w:tcPr>
          <w:p w14:paraId="41F709B7"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3D3C92A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7D34DC9" w14:textId="77777777" w:rsidR="005D23EB" w:rsidRPr="00994182" w:rsidRDefault="00002F20" w:rsidP="00B75259">
            <w:pPr>
              <w:rPr>
                <w:rFonts w:ascii="Cambria" w:hAnsi="Cambria" w:cs="Arial"/>
                <w:color w:val="244061" w:themeColor="accent1" w:themeShade="80"/>
                <w:sz w:val="20"/>
                <w:szCs w:val="20"/>
              </w:rPr>
            </w:pPr>
            <w:r w:rsidRPr="00994182">
              <w:rPr>
                <w:color w:val="244061" w:themeColor="accent1" w:themeShade="80"/>
              </w:rPr>
              <w:t>Specialized Background - Specialization</w:t>
            </w:r>
          </w:p>
        </w:tc>
      </w:tr>
      <w:tr w:rsidR="005D23EB" w:rsidRPr="006403CB" w14:paraId="2F7AD264" w14:textId="77777777" w:rsidTr="00C822F5">
        <w:tc>
          <w:tcPr>
            <w:tcW w:w="3205" w:type="dxa"/>
            <w:shd w:val="clear" w:color="auto" w:fill="DDD9C3"/>
          </w:tcPr>
          <w:p w14:paraId="4500B81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47A27CCE"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3F9AC4C0" w14:textId="77777777" w:rsidR="005D23EB" w:rsidRPr="00994182" w:rsidRDefault="005D23EB" w:rsidP="00C822F5">
            <w:pPr>
              <w:rPr>
                <w:rFonts w:ascii="Cambria" w:hAnsi="Cambria" w:cs="Arial"/>
                <w:color w:val="244061" w:themeColor="accent1" w:themeShade="80"/>
                <w:sz w:val="20"/>
                <w:szCs w:val="20"/>
                <w:lang w:val="en-GB"/>
              </w:rPr>
            </w:pPr>
          </w:p>
        </w:tc>
      </w:tr>
      <w:tr w:rsidR="005D23EB" w:rsidRPr="006403CB" w14:paraId="4B0F5812" w14:textId="77777777" w:rsidTr="00C822F5">
        <w:tc>
          <w:tcPr>
            <w:tcW w:w="3205" w:type="dxa"/>
            <w:shd w:val="clear" w:color="auto" w:fill="DDD9C3"/>
          </w:tcPr>
          <w:p w14:paraId="15E61B9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37BD8B2F" w14:textId="77777777" w:rsidR="00002F20" w:rsidRPr="00994182" w:rsidRDefault="00002F20" w:rsidP="00002F20">
            <w:pPr>
              <w:rPr>
                <w:color w:val="244061" w:themeColor="accent1" w:themeShade="80"/>
                <w:lang w:val="el-GR"/>
              </w:rPr>
            </w:pPr>
            <w:r w:rsidRPr="00994182">
              <w:rPr>
                <w:color w:val="244061" w:themeColor="accent1" w:themeShade="80"/>
              </w:rPr>
              <w:t xml:space="preserve">Greek </w:t>
            </w:r>
          </w:p>
          <w:p w14:paraId="7D91524D" w14:textId="77777777" w:rsidR="005D23EB" w:rsidRPr="00994182" w:rsidRDefault="005D23EB" w:rsidP="00C822F5">
            <w:pPr>
              <w:rPr>
                <w:rFonts w:ascii="Cambria" w:hAnsi="Cambria" w:cs="Arial"/>
                <w:color w:val="244061" w:themeColor="accent1" w:themeShade="80"/>
                <w:sz w:val="20"/>
                <w:szCs w:val="20"/>
              </w:rPr>
            </w:pPr>
          </w:p>
        </w:tc>
      </w:tr>
      <w:tr w:rsidR="005D23EB" w:rsidRPr="006403CB" w14:paraId="5E1ABCE9" w14:textId="77777777" w:rsidTr="00C822F5">
        <w:tc>
          <w:tcPr>
            <w:tcW w:w="3205" w:type="dxa"/>
            <w:shd w:val="clear" w:color="auto" w:fill="DDD9C3"/>
          </w:tcPr>
          <w:p w14:paraId="26B28D5F"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AE63F65" w14:textId="5B08B4EF" w:rsidR="005D23EB" w:rsidRPr="00994182" w:rsidRDefault="00994182" w:rsidP="00C822F5">
            <w:pPr>
              <w:rPr>
                <w:rFonts w:ascii="Cambria" w:hAnsi="Cambria" w:cs="Arial"/>
                <w:color w:val="244061" w:themeColor="accent1" w:themeShade="80"/>
                <w:sz w:val="20"/>
                <w:szCs w:val="20"/>
                <w:lang w:val="en-GB"/>
              </w:rPr>
            </w:pPr>
            <w:r w:rsidRPr="00994182">
              <w:rPr>
                <w:color w:val="244061" w:themeColor="accent1" w:themeShade="80"/>
              </w:rPr>
              <w:t>YES</w:t>
            </w:r>
          </w:p>
        </w:tc>
      </w:tr>
      <w:tr w:rsidR="005D23EB" w:rsidRPr="006403CB" w14:paraId="54B51B94" w14:textId="77777777" w:rsidTr="00C822F5">
        <w:tc>
          <w:tcPr>
            <w:tcW w:w="3205" w:type="dxa"/>
            <w:shd w:val="clear" w:color="auto" w:fill="DDD9C3"/>
          </w:tcPr>
          <w:p w14:paraId="42CE31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7B5A5D2A" w14:textId="0597BB0F" w:rsidR="005D23EB" w:rsidRPr="006403CB" w:rsidRDefault="00994182" w:rsidP="00C822F5">
            <w:pPr>
              <w:spacing w:after="200" w:line="276" w:lineRule="auto"/>
              <w:rPr>
                <w:rFonts w:ascii="Cambria" w:hAnsi="Cambria" w:cs="Arial"/>
                <w:color w:val="002060"/>
                <w:sz w:val="20"/>
                <w:szCs w:val="20"/>
                <w:lang w:val="en-GB"/>
              </w:rPr>
            </w:pPr>
            <w:r w:rsidRPr="00994182">
              <w:rPr>
                <w:rFonts w:ascii="Cambria" w:hAnsi="Cambria" w:cs="Arial"/>
                <w:color w:val="002060"/>
                <w:sz w:val="20"/>
                <w:szCs w:val="20"/>
                <w:lang w:val="en-GB"/>
              </w:rPr>
              <w:t>https://ecourse.uoi.gr/enrol/index.php?id=1865</w:t>
            </w:r>
          </w:p>
        </w:tc>
      </w:tr>
    </w:tbl>
    <w:p w14:paraId="42EFD867" w14:textId="77777777" w:rsidR="005D23EB" w:rsidRPr="00994182" w:rsidRDefault="005D23EB" w:rsidP="008671BA">
      <w:pPr>
        <w:rPr>
          <w:rFonts w:ascii="Cambria" w:hAnsi="Cambria"/>
          <w:lang w:val="en-GB"/>
        </w:rPr>
      </w:pPr>
    </w:p>
    <w:p w14:paraId="064DC6E1" w14:textId="77777777" w:rsidR="00293C01" w:rsidRPr="00994182" w:rsidRDefault="00293C01" w:rsidP="008671BA">
      <w:pPr>
        <w:rPr>
          <w:rFonts w:ascii="Cambria" w:hAnsi="Cambria"/>
          <w:lang w:val="en-GB"/>
        </w:rPr>
      </w:pPr>
    </w:p>
    <w:p w14:paraId="70D368F2" w14:textId="77777777" w:rsidR="00293C01" w:rsidRPr="00994182" w:rsidRDefault="00293C01" w:rsidP="008671BA">
      <w:pPr>
        <w:rPr>
          <w:rFonts w:ascii="Cambria" w:hAnsi="Cambria"/>
          <w:lang w:val="en-GB"/>
        </w:rPr>
      </w:pPr>
    </w:p>
    <w:p w14:paraId="796E097E" w14:textId="77777777" w:rsidR="00293C01" w:rsidRPr="00994182" w:rsidRDefault="00293C01" w:rsidP="008671BA">
      <w:pPr>
        <w:rPr>
          <w:rFonts w:ascii="Cambria" w:hAnsi="Cambria"/>
          <w:lang w:val="en-GB"/>
        </w:rPr>
      </w:pPr>
    </w:p>
    <w:p w14:paraId="0D6F111A" w14:textId="77777777" w:rsidR="00293C01" w:rsidRPr="00994182" w:rsidRDefault="00293C01" w:rsidP="008671BA">
      <w:pPr>
        <w:rPr>
          <w:rFonts w:ascii="Cambria" w:hAnsi="Cambria"/>
          <w:lang w:val="en-GB"/>
        </w:rPr>
      </w:pPr>
    </w:p>
    <w:p w14:paraId="78EFBC54" w14:textId="77777777" w:rsidR="00293C01" w:rsidRPr="00994182" w:rsidRDefault="00293C01" w:rsidP="008671BA">
      <w:pPr>
        <w:rPr>
          <w:rFonts w:ascii="Cambria" w:hAnsi="Cambria"/>
          <w:lang w:val="en-GB"/>
        </w:rPr>
      </w:pPr>
    </w:p>
    <w:p w14:paraId="2018D0F6" w14:textId="77777777" w:rsidR="00293C01" w:rsidRPr="00994182" w:rsidRDefault="00293C01" w:rsidP="008671BA">
      <w:pPr>
        <w:rPr>
          <w:rFonts w:ascii="Cambria" w:hAnsi="Cambria"/>
          <w:lang w:val="en-GB"/>
        </w:rPr>
      </w:pPr>
    </w:p>
    <w:p w14:paraId="73153D50" w14:textId="77777777" w:rsidR="00293C01" w:rsidRPr="00994182" w:rsidRDefault="00293C01" w:rsidP="008671BA">
      <w:pPr>
        <w:rPr>
          <w:rFonts w:ascii="Cambria" w:hAnsi="Cambria"/>
          <w:lang w:val="en-GB"/>
        </w:rPr>
      </w:pPr>
    </w:p>
    <w:p w14:paraId="10DE1F00" w14:textId="77777777" w:rsidR="00293C01" w:rsidRPr="00994182" w:rsidRDefault="00293C01" w:rsidP="008671BA">
      <w:pPr>
        <w:rPr>
          <w:rFonts w:ascii="Cambria" w:hAnsi="Cambria"/>
          <w:lang w:val="en-GB"/>
        </w:rPr>
      </w:pPr>
      <w:r w:rsidRPr="00994182">
        <w:rPr>
          <w:rFonts w:ascii="Cambria" w:hAnsi="Cambria"/>
          <w:lang w:val="en-GB"/>
        </w:rPr>
        <w:br w:type="page"/>
      </w:r>
    </w:p>
    <w:p w14:paraId="3457FD1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0F178B0B" w14:textId="77777777" w:rsidTr="00C822F5">
        <w:tc>
          <w:tcPr>
            <w:tcW w:w="8472" w:type="dxa"/>
            <w:gridSpan w:val="2"/>
            <w:tcBorders>
              <w:bottom w:val="nil"/>
            </w:tcBorders>
            <w:shd w:val="clear" w:color="auto" w:fill="DDD9C3"/>
          </w:tcPr>
          <w:p w14:paraId="2E946C9D"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67ACB55C" w14:textId="77777777" w:rsidTr="00C822F5">
        <w:tc>
          <w:tcPr>
            <w:tcW w:w="8472" w:type="dxa"/>
            <w:gridSpan w:val="2"/>
            <w:tcBorders>
              <w:top w:val="nil"/>
            </w:tcBorders>
            <w:shd w:val="clear" w:color="auto" w:fill="DDD9C3"/>
          </w:tcPr>
          <w:p w14:paraId="153DEDD4"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03D9A6C6"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FDFBBB7"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553147C0"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E9A7CA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7FC25706" w14:textId="77777777" w:rsidTr="00C822F5">
        <w:tc>
          <w:tcPr>
            <w:tcW w:w="8472" w:type="dxa"/>
            <w:gridSpan w:val="2"/>
          </w:tcPr>
          <w:p w14:paraId="7C95C101" w14:textId="77777777" w:rsidR="001B6432" w:rsidRDefault="004A231B" w:rsidP="00994182">
            <w:pPr>
              <w:pStyle w:val="Web"/>
              <w:jc w:val="both"/>
              <w:rPr>
                <w:rFonts w:ascii="Cambria" w:hAnsi="Cambria" w:cs="Arial"/>
                <w:i/>
                <w:sz w:val="16"/>
                <w:szCs w:val="16"/>
              </w:rPr>
            </w:pPr>
            <w:r>
              <w:t xml:space="preserve">The </w:t>
            </w:r>
            <w:proofErr w:type="spellStart"/>
            <w:r>
              <w:t>course</w:t>
            </w:r>
            <w:proofErr w:type="spellEnd"/>
            <w:r>
              <w:t xml:space="preserve"> </w:t>
            </w:r>
            <w:proofErr w:type="spellStart"/>
            <w:r>
              <w:t>is</w:t>
            </w:r>
            <w:proofErr w:type="spellEnd"/>
            <w:r>
              <w:t xml:space="preserve"> a </w:t>
            </w:r>
            <w:proofErr w:type="spellStart"/>
            <w:r>
              <w:t>specialization</w:t>
            </w:r>
            <w:proofErr w:type="spellEnd"/>
            <w:r>
              <w:t xml:space="preserve"> in </w:t>
            </w:r>
            <w:proofErr w:type="spellStart"/>
            <w:r>
              <w:t>Obstetrics</w:t>
            </w:r>
            <w:proofErr w:type="spellEnd"/>
            <w:r>
              <w:t>/</w:t>
            </w:r>
            <w:proofErr w:type="spellStart"/>
            <w:r>
              <w:t>Gynecology</w:t>
            </w:r>
            <w:proofErr w:type="spellEnd"/>
            <w:r>
              <w:t xml:space="preserve">, </w:t>
            </w:r>
            <w:proofErr w:type="spellStart"/>
            <w:r>
              <w:t>combining</w:t>
            </w:r>
            <w:proofErr w:type="spellEnd"/>
            <w:r>
              <w:t xml:space="preserve"> </w:t>
            </w:r>
            <w:proofErr w:type="spellStart"/>
            <w:r>
              <w:t>case</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infertility</w:t>
            </w:r>
            <w:proofErr w:type="spellEnd"/>
            <w:r>
              <w:t xml:space="preserve">. By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students</w:t>
            </w:r>
            <w:proofErr w:type="spellEnd"/>
            <w:r>
              <w:t xml:space="preserve"> will </w:t>
            </w:r>
            <w:proofErr w:type="spellStart"/>
            <w:r>
              <w:t>be</w:t>
            </w:r>
            <w:proofErr w:type="spellEnd"/>
            <w:r>
              <w:t xml:space="preserve"> </w:t>
            </w:r>
            <w:proofErr w:type="spellStart"/>
            <w:r>
              <w:t>equipped</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diagnose</w:t>
            </w:r>
            <w:proofErr w:type="spellEnd"/>
            <w:r>
              <w:t xml:space="preserve">, and </w:t>
            </w:r>
            <w:proofErr w:type="spellStart"/>
            <w:r>
              <w:t>treat</w:t>
            </w:r>
            <w:proofErr w:type="spellEnd"/>
            <w:r>
              <w:t xml:space="preserve"> </w:t>
            </w:r>
            <w:proofErr w:type="spellStart"/>
            <w:r>
              <w:t>infertility</w:t>
            </w:r>
            <w:proofErr w:type="spellEnd"/>
            <w:r>
              <w:t xml:space="preserve">. </w:t>
            </w:r>
            <w:proofErr w:type="spellStart"/>
            <w:r>
              <w:t>They</w:t>
            </w:r>
            <w:proofErr w:type="spellEnd"/>
            <w:r>
              <w:t xml:space="preserve"> will </w:t>
            </w:r>
            <w:proofErr w:type="spellStart"/>
            <w:r>
              <w:t>acquire</w:t>
            </w:r>
            <w:proofErr w:type="spellEnd"/>
            <w:r>
              <w:t xml:space="preserve"> </w:t>
            </w:r>
            <w:proofErr w:type="spellStart"/>
            <w:r>
              <w:t>knowledge</w:t>
            </w:r>
            <w:proofErr w:type="spellEnd"/>
            <w:r>
              <w:t xml:space="preserve"> and </w:t>
            </w:r>
            <w:proofErr w:type="spellStart"/>
            <w:r>
              <w:t>skills</w:t>
            </w:r>
            <w:proofErr w:type="spellEnd"/>
            <w:r>
              <w:t xml:space="preserve"> </w:t>
            </w:r>
            <w:proofErr w:type="spellStart"/>
            <w:r>
              <w:t>to</w:t>
            </w:r>
            <w:proofErr w:type="spellEnd"/>
            <w:r>
              <w:t xml:space="preserve"> </w:t>
            </w:r>
            <w:proofErr w:type="spellStart"/>
            <w:r>
              <w:t>explore</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infertility</w:t>
            </w:r>
            <w:proofErr w:type="spellEnd"/>
            <w:r>
              <w:t xml:space="preserve"> and </w:t>
            </w:r>
            <w:proofErr w:type="spellStart"/>
            <w:r>
              <w:t>propose</w:t>
            </w:r>
            <w:proofErr w:type="spellEnd"/>
            <w:r>
              <w:t xml:space="preserve"> </w:t>
            </w:r>
            <w:proofErr w:type="spellStart"/>
            <w:r>
              <w:t>appropriate</w:t>
            </w:r>
            <w:proofErr w:type="spellEnd"/>
            <w:r>
              <w:t xml:space="preserve"> </w:t>
            </w:r>
            <w:proofErr w:type="spellStart"/>
            <w:r>
              <w:t>clinical</w:t>
            </w:r>
            <w:proofErr w:type="spellEnd"/>
            <w:r>
              <w:t xml:space="preserve"> </w:t>
            </w:r>
            <w:proofErr w:type="spellStart"/>
            <w:r>
              <w:t>interventions</w:t>
            </w:r>
            <w:proofErr w:type="spellEnd"/>
            <w:r>
              <w:t>.</w:t>
            </w:r>
            <w:r>
              <w:br/>
            </w:r>
          </w:p>
          <w:p w14:paraId="418DCFA2" w14:textId="77777777" w:rsidR="00994182" w:rsidRDefault="00994182" w:rsidP="00994182">
            <w:pPr>
              <w:pStyle w:val="Web"/>
              <w:jc w:val="both"/>
              <w:rPr>
                <w:rFonts w:ascii="Cambria" w:hAnsi="Cambria" w:cs="Arial"/>
                <w:i/>
                <w:sz w:val="16"/>
                <w:szCs w:val="16"/>
              </w:rPr>
            </w:pPr>
          </w:p>
          <w:p w14:paraId="16AB122C" w14:textId="77777777" w:rsidR="00994182" w:rsidRDefault="00994182" w:rsidP="00994182">
            <w:pPr>
              <w:pStyle w:val="Web"/>
              <w:jc w:val="both"/>
              <w:rPr>
                <w:rFonts w:ascii="Cambria" w:hAnsi="Cambria" w:cs="Arial"/>
                <w:i/>
                <w:sz w:val="16"/>
                <w:szCs w:val="16"/>
              </w:rPr>
            </w:pPr>
          </w:p>
          <w:p w14:paraId="67C15AB9" w14:textId="49A9B923" w:rsidR="00994182" w:rsidRPr="00CC0E48" w:rsidRDefault="00994182" w:rsidP="00994182">
            <w:pPr>
              <w:pStyle w:val="Web"/>
              <w:jc w:val="both"/>
              <w:rPr>
                <w:rFonts w:ascii="Cambria" w:hAnsi="Cambria" w:cs="Arial"/>
                <w:i/>
                <w:sz w:val="16"/>
                <w:szCs w:val="16"/>
              </w:rPr>
            </w:pPr>
          </w:p>
        </w:tc>
      </w:tr>
      <w:tr w:rsidR="005D23EB" w:rsidRPr="006403CB" w14:paraId="344DE535"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5D918FFE"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728D3DD5" w14:textId="77777777" w:rsidTr="00C822F5">
        <w:tc>
          <w:tcPr>
            <w:tcW w:w="8472" w:type="dxa"/>
            <w:gridSpan w:val="2"/>
            <w:tcBorders>
              <w:top w:val="nil"/>
              <w:bottom w:val="nil"/>
            </w:tcBorders>
            <w:shd w:val="clear" w:color="auto" w:fill="DDD9C3"/>
          </w:tcPr>
          <w:p w14:paraId="2B5EE53E"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70D3D811" w14:textId="77777777" w:rsidTr="00C822F5">
        <w:tblPrEx>
          <w:tblLook w:val="0000" w:firstRow="0" w:lastRow="0" w:firstColumn="0" w:lastColumn="0" w:noHBand="0" w:noVBand="0"/>
        </w:tblPrEx>
        <w:tc>
          <w:tcPr>
            <w:tcW w:w="3964" w:type="dxa"/>
            <w:tcBorders>
              <w:top w:val="nil"/>
              <w:right w:val="nil"/>
            </w:tcBorders>
            <w:shd w:val="clear" w:color="auto" w:fill="DDD9C3"/>
          </w:tcPr>
          <w:p w14:paraId="2F8A0B1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5DD75A3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29AD2EC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73E740C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09AC377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ED93DD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F25C72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7570F6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F66DC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15DF690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6CE033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185F547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1C38252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30F5634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50EE00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5590053C"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1125C3C3"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793449A4" w14:textId="77777777" w:rsidTr="00C822F5">
        <w:tc>
          <w:tcPr>
            <w:tcW w:w="8472" w:type="dxa"/>
            <w:gridSpan w:val="2"/>
          </w:tcPr>
          <w:p w14:paraId="0A150847"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63EB4842" w14:textId="77777777" w:rsidR="004A231B" w:rsidRDefault="004A231B" w:rsidP="004A231B">
            <w:r>
              <w:t>General Skills Developed:</w:t>
            </w:r>
            <w:r>
              <w:br/>
              <w:t>- Search, analyze, and synthesize data using technology</w:t>
            </w:r>
            <w:r>
              <w:br/>
              <w:t>- Decision-making</w:t>
            </w:r>
            <w:r>
              <w:br/>
              <w:t>- Independent and teamwork</w:t>
            </w:r>
            <w:r>
              <w:br/>
              <w:t>- Developing new research ideas</w:t>
            </w:r>
            <w:r>
              <w:br/>
              <w:t>- Respect for diversity, multiculturalism, and the natural environment</w:t>
            </w:r>
            <w:r>
              <w:br/>
              <w:t>- Professional and ethical responsibility with gender sensitivity</w:t>
            </w:r>
            <w:r>
              <w:br/>
              <w:t>- Critical thinking and creativity</w:t>
            </w:r>
          </w:p>
          <w:p w14:paraId="543FFC38" w14:textId="77777777" w:rsidR="001B6432" w:rsidRPr="004A231B" w:rsidRDefault="001B6432" w:rsidP="00C822F5">
            <w:pPr>
              <w:widowControl w:val="0"/>
              <w:autoSpaceDE w:val="0"/>
              <w:autoSpaceDN w:val="0"/>
              <w:adjustRightInd w:val="0"/>
              <w:spacing w:after="60"/>
              <w:rPr>
                <w:rFonts w:ascii="Cambria" w:hAnsi="Cambria"/>
                <w:color w:val="002060"/>
              </w:rPr>
            </w:pPr>
          </w:p>
          <w:p w14:paraId="70EBFEC9" w14:textId="77777777" w:rsidR="001B6432" w:rsidRDefault="001B6432" w:rsidP="00C822F5">
            <w:pPr>
              <w:widowControl w:val="0"/>
              <w:autoSpaceDE w:val="0"/>
              <w:autoSpaceDN w:val="0"/>
              <w:adjustRightInd w:val="0"/>
              <w:spacing w:after="60"/>
              <w:rPr>
                <w:rFonts w:ascii="Cambria" w:hAnsi="Cambria"/>
                <w:color w:val="002060"/>
                <w:sz w:val="20"/>
                <w:szCs w:val="20"/>
                <w:lang w:val="en-GB"/>
              </w:rPr>
            </w:pPr>
          </w:p>
          <w:p w14:paraId="46ED84A9" w14:textId="77777777" w:rsidR="00994182" w:rsidRDefault="00994182" w:rsidP="00C822F5">
            <w:pPr>
              <w:widowControl w:val="0"/>
              <w:autoSpaceDE w:val="0"/>
              <w:autoSpaceDN w:val="0"/>
              <w:adjustRightInd w:val="0"/>
              <w:spacing w:after="60"/>
              <w:rPr>
                <w:rFonts w:ascii="Cambria" w:hAnsi="Cambria"/>
                <w:color w:val="002060"/>
                <w:sz w:val="20"/>
                <w:szCs w:val="20"/>
                <w:lang w:val="en-GB"/>
              </w:rPr>
            </w:pPr>
          </w:p>
          <w:p w14:paraId="28CC7565" w14:textId="77777777" w:rsidR="00994182" w:rsidRDefault="00994182" w:rsidP="00C822F5">
            <w:pPr>
              <w:widowControl w:val="0"/>
              <w:autoSpaceDE w:val="0"/>
              <w:autoSpaceDN w:val="0"/>
              <w:adjustRightInd w:val="0"/>
              <w:spacing w:after="60"/>
              <w:rPr>
                <w:rFonts w:ascii="Cambria" w:hAnsi="Cambria"/>
                <w:color w:val="002060"/>
                <w:sz w:val="20"/>
                <w:szCs w:val="20"/>
                <w:lang w:val="en-GB"/>
              </w:rPr>
            </w:pPr>
          </w:p>
          <w:p w14:paraId="5E2A23C8" w14:textId="77777777" w:rsidR="00994182" w:rsidRDefault="00994182" w:rsidP="00C822F5">
            <w:pPr>
              <w:widowControl w:val="0"/>
              <w:autoSpaceDE w:val="0"/>
              <w:autoSpaceDN w:val="0"/>
              <w:adjustRightInd w:val="0"/>
              <w:spacing w:after="60"/>
              <w:rPr>
                <w:rFonts w:ascii="Cambria" w:hAnsi="Cambria"/>
                <w:color w:val="002060"/>
                <w:sz w:val="20"/>
                <w:szCs w:val="20"/>
                <w:lang w:val="en-GB"/>
              </w:rPr>
            </w:pPr>
          </w:p>
          <w:p w14:paraId="5E4431B8" w14:textId="77777777" w:rsidR="00994182" w:rsidRPr="00D21E0C" w:rsidRDefault="00994182" w:rsidP="00C822F5">
            <w:pPr>
              <w:widowControl w:val="0"/>
              <w:autoSpaceDE w:val="0"/>
              <w:autoSpaceDN w:val="0"/>
              <w:adjustRightInd w:val="0"/>
              <w:spacing w:after="60"/>
              <w:rPr>
                <w:rFonts w:ascii="Cambria" w:hAnsi="Cambria"/>
                <w:color w:val="002060"/>
                <w:sz w:val="20"/>
                <w:szCs w:val="20"/>
                <w:lang w:val="en-GB"/>
              </w:rPr>
            </w:pPr>
          </w:p>
        </w:tc>
      </w:tr>
    </w:tbl>
    <w:p w14:paraId="65FA04B3"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44FAB61" w14:textId="77777777" w:rsidR="00994182" w:rsidRDefault="00994182"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320D3690" w14:textId="77777777" w:rsidR="00994182" w:rsidRDefault="00994182"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72C481C" w14:textId="77777777" w:rsidR="00994182" w:rsidRDefault="00994182"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590EAA0" w14:textId="77777777" w:rsidR="00994182" w:rsidRDefault="00994182"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7F01AF1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219D36D0" w14:textId="77777777" w:rsidTr="00B45BFC">
        <w:trPr>
          <w:trHeight w:val="479"/>
        </w:trPr>
        <w:tc>
          <w:tcPr>
            <w:tcW w:w="8472" w:type="dxa"/>
          </w:tcPr>
          <w:p w14:paraId="7EA66B0D" w14:textId="77777777" w:rsidR="00CF537E" w:rsidRDefault="00CF537E" w:rsidP="001B6432">
            <w:pPr>
              <w:rPr>
                <w:rFonts w:asciiTheme="minorHAnsi" w:hAnsiTheme="minorHAnsi"/>
                <w:color w:val="000000"/>
                <w:sz w:val="22"/>
                <w:szCs w:val="22"/>
              </w:rPr>
            </w:pPr>
          </w:p>
          <w:p w14:paraId="5165DB5D" w14:textId="77777777" w:rsidR="004A231B" w:rsidRDefault="004A231B" w:rsidP="004A231B">
            <w:r>
              <w:t>1. Anatomy of the Reproductive System:</w:t>
            </w:r>
            <w:r>
              <w:br/>
              <w:t xml:space="preserve">   a. Female</w:t>
            </w:r>
            <w:r>
              <w:br/>
              <w:t xml:space="preserve">   b. Male</w:t>
            </w:r>
            <w:r>
              <w:br/>
              <w:t>2. Gender Disorders and Determination</w:t>
            </w:r>
            <w:r>
              <w:br/>
              <w:t>3. Reproductive Physiology:</w:t>
            </w:r>
            <w:r>
              <w:br/>
              <w:t xml:space="preserve">   a. Ovarian Cycle</w:t>
            </w:r>
            <w:r>
              <w:br/>
              <w:t xml:space="preserve">   b. Steroidogenesis</w:t>
            </w:r>
            <w:r>
              <w:br/>
              <w:t>4. Male Infertility</w:t>
            </w:r>
            <w:r>
              <w:br/>
              <w:t>5. Female Infertility</w:t>
            </w:r>
            <w:r>
              <w:br/>
              <w:t>6. Polycystic Ovary Syndrome</w:t>
            </w:r>
            <w:r>
              <w:br/>
              <w:t>7. Endometriosis, Adenomyosis, Hydrosalpinx, and Infertility</w:t>
            </w:r>
            <w:r>
              <w:br/>
              <w:t>8. Assisted Reproductive Techniques:</w:t>
            </w:r>
            <w:r>
              <w:br/>
              <w:t xml:space="preserve">   a. Gamete Manipulation</w:t>
            </w:r>
            <w:r>
              <w:br/>
              <w:t xml:space="preserve">   b. Preimplantation Embryonic Development</w:t>
            </w:r>
            <w:r>
              <w:br/>
              <w:t xml:space="preserve">   c. Genetic Investigation</w:t>
            </w:r>
            <w:r>
              <w:br/>
              <w:t>9. Ovulation Induction</w:t>
            </w:r>
            <w:r>
              <w:br/>
              <w:t>10. Fertility Preservation and Cancer</w:t>
            </w:r>
            <w:r>
              <w:br/>
              <w:t>11. Premature Ovarian Failure: Investigation and Treatment</w:t>
            </w:r>
            <w:r>
              <w:br/>
              <w:t>12. Menopause and Aging</w:t>
            </w:r>
            <w:r>
              <w:br/>
              <w:t>13. Implantation Failure</w:t>
            </w:r>
            <w:r>
              <w:br/>
              <w:t>14. Miscarriages in Assisted Reproduction</w:t>
            </w:r>
            <w:r>
              <w:br/>
              <w:t>15. Ovulation Induction in Experimental Models</w:t>
            </w:r>
          </w:p>
          <w:p w14:paraId="2C2BA672" w14:textId="77777777" w:rsidR="00D21E0C" w:rsidRPr="004A231B" w:rsidRDefault="00D21E0C" w:rsidP="00D21E0C"/>
        </w:tc>
      </w:tr>
    </w:tbl>
    <w:p w14:paraId="274C8369" w14:textId="77777777" w:rsidR="00055F53" w:rsidRPr="004A231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3D5A0F5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BBF464E" w14:textId="77777777" w:rsidTr="00C822F5">
        <w:tc>
          <w:tcPr>
            <w:tcW w:w="3306" w:type="dxa"/>
            <w:shd w:val="clear" w:color="auto" w:fill="DDD9C3"/>
          </w:tcPr>
          <w:p w14:paraId="430A446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45BCEC3A" w14:textId="7CD12A4C" w:rsidR="001B6432" w:rsidRPr="00C80BDF" w:rsidRDefault="00C80BDF" w:rsidP="00994182">
            <w:pPr>
              <w:spacing w:after="200"/>
              <w:jc w:val="both"/>
              <w:rPr>
                <w:rFonts w:asciiTheme="majorHAnsi" w:hAnsiTheme="majorHAnsi"/>
                <w:sz w:val="20"/>
                <w:szCs w:val="20"/>
              </w:rPr>
            </w:pPr>
            <w:r w:rsidRPr="00C80BDF">
              <w:rPr>
                <w:rFonts w:asciiTheme="majorHAnsi" w:hAnsiTheme="majorHAnsi"/>
                <w:sz w:val="20"/>
                <w:szCs w:val="20"/>
              </w:rPr>
              <w:t xml:space="preserve"> </w:t>
            </w:r>
            <w:r w:rsidR="004A231B">
              <w:t>Face-to-face</w:t>
            </w:r>
          </w:p>
        </w:tc>
      </w:tr>
      <w:tr w:rsidR="005D23EB" w:rsidRPr="006403CB" w14:paraId="66190285" w14:textId="77777777" w:rsidTr="00C822F5">
        <w:tc>
          <w:tcPr>
            <w:tcW w:w="3306" w:type="dxa"/>
            <w:shd w:val="clear" w:color="auto" w:fill="DDD9C3"/>
          </w:tcPr>
          <w:p w14:paraId="73F92B59"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3900EFD7" w14:textId="77777777" w:rsidR="005D23EB" w:rsidRDefault="005D23EB" w:rsidP="00C80BDF">
            <w:pPr>
              <w:jc w:val="both"/>
              <w:rPr>
                <w:rFonts w:asciiTheme="majorHAnsi" w:hAnsiTheme="majorHAnsi" w:cs="Arial"/>
                <w:color w:val="002060"/>
                <w:sz w:val="20"/>
                <w:szCs w:val="20"/>
                <w:lang w:val="en-GB"/>
              </w:rPr>
            </w:pPr>
          </w:p>
          <w:p w14:paraId="728EA9E7" w14:textId="0385FAC2" w:rsidR="001B6432" w:rsidRPr="00994182" w:rsidRDefault="004A231B" w:rsidP="00C80BDF">
            <w:pPr>
              <w:jc w:val="both"/>
              <w:rPr>
                <w:rFonts w:asciiTheme="majorHAnsi" w:hAnsiTheme="majorHAnsi" w:cs="Arial"/>
                <w:color w:val="002060"/>
                <w:sz w:val="20"/>
                <w:szCs w:val="20"/>
              </w:rPr>
            </w:pPr>
            <w:r>
              <w:t>Computer-assisted lectures and bibliographic research</w:t>
            </w:r>
            <w:r>
              <w:br/>
            </w:r>
          </w:p>
        </w:tc>
      </w:tr>
      <w:tr w:rsidR="005D23EB" w:rsidRPr="006403CB" w14:paraId="62546EC0" w14:textId="77777777" w:rsidTr="00C822F5">
        <w:tc>
          <w:tcPr>
            <w:tcW w:w="3306" w:type="dxa"/>
            <w:shd w:val="clear" w:color="auto" w:fill="DDD9C3"/>
          </w:tcPr>
          <w:p w14:paraId="68828F0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73B673F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398B6B7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4A6E955" w14:textId="77777777" w:rsidR="005D23EB" w:rsidRPr="006403CB" w:rsidRDefault="005D23EB" w:rsidP="00C822F5">
            <w:pPr>
              <w:jc w:val="both"/>
              <w:rPr>
                <w:rFonts w:ascii="Cambria" w:hAnsi="Cambria" w:cs="Arial"/>
                <w:i/>
                <w:sz w:val="16"/>
                <w:szCs w:val="16"/>
                <w:lang w:val="en-GB"/>
              </w:rPr>
            </w:pPr>
          </w:p>
          <w:p w14:paraId="02523CB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3F84FD6"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7EF31D6"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E57A8ED"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118A4D7A" w14:textId="77777777" w:rsidTr="00206BAF">
              <w:tc>
                <w:tcPr>
                  <w:tcW w:w="2467" w:type="dxa"/>
                  <w:tcBorders>
                    <w:top w:val="single" w:sz="4" w:space="0" w:color="auto"/>
                    <w:left w:val="single" w:sz="4" w:space="0" w:color="auto"/>
                    <w:bottom w:val="single" w:sz="4" w:space="0" w:color="auto"/>
                    <w:right w:val="single" w:sz="4" w:space="0" w:color="auto"/>
                  </w:tcBorders>
                </w:tcPr>
                <w:p w14:paraId="081B8004" w14:textId="77777777" w:rsidR="005D23EB" w:rsidRPr="00C80BDF" w:rsidRDefault="004A231B" w:rsidP="00C822F5">
                  <w:pPr>
                    <w:rPr>
                      <w:rFonts w:ascii="Cambria" w:hAnsi="Cambria"/>
                      <w:iCs/>
                      <w:color w:val="002060"/>
                      <w:sz w:val="20"/>
                      <w:lang w:val="en-GB"/>
                    </w:rPr>
                  </w:pPr>
                  <w:r>
                    <w:t>Lectures</w:t>
                  </w:r>
                </w:p>
              </w:tc>
              <w:tc>
                <w:tcPr>
                  <w:tcW w:w="2468" w:type="dxa"/>
                  <w:tcBorders>
                    <w:top w:val="single" w:sz="4" w:space="0" w:color="auto"/>
                    <w:left w:val="single" w:sz="4" w:space="0" w:color="auto"/>
                    <w:bottom w:val="single" w:sz="4" w:space="0" w:color="auto"/>
                    <w:right w:val="single" w:sz="4" w:space="0" w:color="auto"/>
                  </w:tcBorders>
                </w:tcPr>
                <w:p w14:paraId="220AC091" w14:textId="77777777" w:rsidR="005D23EB" w:rsidRPr="004A231B" w:rsidRDefault="004A231B" w:rsidP="00206BAF">
                  <w:pPr>
                    <w:jc w:val="center"/>
                    <w:rPr>
                      <w:rFonts w:ascii="Cambria" w:hAnsi="Cambria" w:cs="Arial"/>
                      <w:color w:val="002060"/>
                      <w:sz w:val="20"/>
                    </w:rPr>
                  </w:pPr>
                  <w:r>
                    <w:t>26 hours</w:t>
                  </w:r>
                </w:p>
              </w:tc>
            </w:tr>
            <w:tr w:rsidR="00A1169E" w:rsidRPr="006403CB" w14:paraId="62AE8F1E" w14:textId="77777777" w:rsidTr="00206BAF">
              <w:tc>
                <w:tcPr>
                  <w:tcW w:w="2467" w:type="dxa"/>
                  <w:tcBorders>
                    <w:top w:val="single" w:sz="4" w:space="0" w:color="auto"/>
                    <w:left w:val="single" w:sz="4" w:space="0" w:color="auto"/>
                    <w:bottom w:val="single" w:sz="4" w:space="0" w:color="auto"/>
                    <w:right w:val="single" w:sz="4" w:space="0" w:color="auto"/>
                  </w:tcBorders>
                </w:tcPr>
                <w:p w14:paraId="01CAE9C9" w14:textId="77777777" w:rsidR="00A1169E" w:rsidRPr="00C80BDF" w:rsidRDefault="004A231B" w:rsidP="00C822F5">
                  <w:pPr>
                    <w:rPr>
                      <w:rFonts w:ascii="Cambria" w:hAnsi="Cambria"/>
                      <w:iCs/>
                      <w:color w:val="002060"/>
                      <w:sz w:val="20"/>
                      <w:lang w:val="de-DE"/>
                    </w:rPr>
                  </w:pPr>
                  <w:r>
                    <w:t>Clinical practice</w:t>
                  </w:r>
                </w:p>
              </w:tc>
              <w:tc>
                <w:tcPr>
                  <w:tcW w:w="2468" w:type="dxa"/>
                  <w:tcBorders>
                    <w:top w:val="single" w:sz="4" w:space="0" w:color="auto"/>
                    <w:left w:val="single" w:sz="4" w:space="0" w:color="auto"/>
                    <w:bottom w:val="single" w:sz="4" w:space="0" w:color="auto"/>
                    <w:right w:val="single" w:sz="4" w:space="0" w:color="auto"/>
                  </w:tcBorders>
                </w:tcPr>
                <w:p w14:paraId="60777ACA" w14:textId="77777777" w:rsidR="00A1169E" w:rsidRPr="001B6432" w:rsidRDefault="004A231B" w:rsidP="00206BAF">
                  <w:pPr>
                    <w:jc w:val="center"/>
                    <w:rPr>
                      <w:rFonts w:ascii="Cambria" w:hAnsi="Cambria" w:cs="Arial"/>
                      <w:color w:val="002060"/>
                      <w:sz w:val="20"/>
                    </w:rPr>
                  </w:pPr>
                  <w:r>
                    <w:t>10 hours</w:t>
                  </w:r>
                </w:p>
              </w:tc>
            </w:tr>
            <w:tr w:rsidR="005C2432" w:rsidRPr="006403CB" w14:paraId="6C66F70C" w14:textId="77777777" w:rsidTr="00206BAF">
              <w:tc>
                <w:tcPr>
                  <w:tcW w:w="2467" w:type="dxa"/>
                  <w:tcBorders>
                    <w:top w:val="single" w:sz="4" w:space="0" w:color="auto"/>
                    <w:left w:val="single" w:sz="4" w:space="0" w:color="auto"/>
                    <w:bottom w:val="single" w:sz="4" w:space="0" w:color="auto"/>
                    <w:right w:val="single" w:sz="4" w:space="0" w:color="auto"/>
                  </w:tcBorders>
                </w:tcPr>
                <w:p w14:paraId="5DB56CC8" w14:textId="77777777" w:rsidR="005C2432" w:rsidRPr="00C80BDF" w:rsidRDefault="004A231B" w:rsidP="005C2432">
                  <w:pPr>
                    <w:rPr>
                      <w:rFonts w:ascii="Cambria" w:hAnsi="Cambria"/>
                      <w:iCs/>
                      <w:color w:val="002060"/>
                      <w:sz w:val="20"/>
                      <w:lang w:val="en-GB"/>
                    </w:rPr>
                  </w:pPr>
                  <w:r>
                    <w:t>Data analysis</w:t>
                  </w:r>
                </w:p>
              </w:tc>
              <w:tc>
                <w:tcPr>
                  <w:tcW w:w="2468" w:type="dxa"/>
                  <w:tcBorders>
                    <w:top w:val="single" w:sz="4" w:space="0" w:color="auto"/>
                    <w:left w:val="single" w:sz="4" w:space="0" w:color="auto"/>
                    <w:bottom w:val="single" w:sz="4" w:space="0" w:color="auto"/>
                    <w:right w:val="single" w:sz="4" w:space="0" w:color="auto"/>
                  </w:tcBorders>
                </w:tcPr>
                <w:p w14:paraId="141B0A4D" w14:textId="77777777" w:rsidR="005C2432" w:rsidRPr="001B6432" w:rsidRDefault="004A231B" w:rsidP="005C2432">
                  <w:pPr>
                    <w:jc w:val="center"/>
                    <w:rPr>
                      <w:rFonts w:ascii="Cambria" w:hAnsi="Cambria" w:cs="Arial"/>
                      <w:color w:val="002060"/>
                      <w:sz w:val="20"/>
                    </w:rPr>
                  </w:pPr>
                  <w:r>
                    <w:t>20 hours</w:t>
                  </w:r>
                </w:p>
              </w:tc>
            </w:tr>
            <w:tr w:rsidR="005C2432" w:rsidRPr="006403CB" w14:paraId="71740096" w14:textId="77777777" w:rsidTr="00206BAF">
              <w:tc>
                <w:tcPr>
                  <w:tcW w:w="2467" w:type="dxa"/>
                  <w:tcBorders>
                    <w:top w:val="single" w:sz="4" w:space="0" w:color="auto"/>
                    <w:left w:val="single" w:sz="4" w:space="0" w:color="auto"/>
                    <w:bottom w:val="single" w:sz="4" w:space="0" w:color="auto"/>
                    <w:right w:val="single" w:sz="4" w:space="0" w:color="auto"/>
                  </w:tcBorders>
                </w:tcPr>
                <w:p w14:paraId="452087B6" w14:textId="77777777" w:rsidR="005C2432" w:rsidRPr="00C80BDF" w:rsidRDefault="004A231B" w:rsidP="005C2432">
                  <w:pPr>
                    <w:rPr>
                      <w:rFonts w:ascii="Cambria" w:hAnsi="Cambria"/>
                      <w:iCs/>
                      <w:color w:val="002060"/>
                      <w:sz w:val="20"/>
                      <w:lang w:val="en-GB"/>
                    </w:rPr>
                  </w:pPr>
                  <w:r>
                    <w:t>Deliver independently a narrative review</w:t>
                  </w:r>
                </w:p>
              </w:tc>
              <w:tc>
                <w:tcPr>
                  <w:tcW w:w="2468" w:type="dxa"/>
                  <w:tcBorders>
                    <w:top w:val="single" w:sz="4" w:space="0" w:color="auto"/>
                    <w:left w:val="single" w:sz="4" w:space="0" w:color="auto"/>
                    <w:bottom w:val="single" w:sz="4" w:space="0" w:color="auto"/>
                    <w:right w:val="single" w:sz="4" w:space="0" w:color="auto"/>
                  </w:tcBorders>
                </w:tcPr>
                <w:p w14:paraId="0C0330CE" w14:textId="77777777" w:rsidR="005C2432" w:rsidRPr="001B6432" w:rsidRDefault="004A231B" w:rsidP="005C2432">
                  <w:pPr>
                    <w:jc w:val="center"/>
                    <w:rPr>
                      <w:rFonts w:ascii="Cambria" w:hAnsi="Cambria" w:cs="Arial"/>
                      <w:color w:val="002060"/>
                      <w:sz w:val="20"/>
                    </w:rPr>
                  </w:pPr>
                  <w:r>
                    <w:t>20 hours</w:t>
                  </w:r>
                </w:p>
              </w:tc>
            </w:tr>
            <w:tr w:rsidR="005C2432" w:rsidRPr="006403CB" w14:paraId="0B577260" w14:textId="77777777" w:rsidTr="00206BAF">
              <w:tc>
                <w:tcPr>
                  <w:tcW w:w="2467" w:type="dxa"/>
                  <w:tcBorders>
                    <w:top w:val="single" w:sz="4" w:space="0" w:color="auto"/>
                    <w:left w:val="single" w:sz="4" w:space="0" w:color="auto"/>
                    <w:bottom w:val="single" w:sz="4" w:space="0" w:color="auto"/>
                    <w:right w:val="single" w:sz="4" w:space="0" w:color="auto"/>
                  </w:tcBorders>
                </w:tcPr>
                <w:p w14:paraId="0A476BB6" w14:textId="77777777"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0FBEA46" w14:textId="77777777" w:rsidR="005C2432" w:rsidRPr="004A231B" w:rsidRDefault="005C2432" w:rsidP="005C2432">
                  <w:pPr>
                    <w:jc w:val="center"/>
                    <w:rPr>
                      <w:rFonts w:ascii="Cambria" w:hAnsi="Cambria" w:cs="Arial"/>
                      <w:color w:val="002060"/>
                      <w:sz w:val="20"/>
                    </w:rPr>
                  </w:pPr>
                </w:p>
              </w:tc>
            </w:tr>
            <w:tr w:rsidR="005C2432" w:rsidRPr="006403CB" w14:paraId="40D78B84" w14:textId="77777777" w:rsidTr="00206BAF">
              <w:tc>
                <w:tcPr>
                  <w:tcW w:w="2467" w:type="dxa"/>
                  <w:tcBorders>
                    <w:top w:val="single" w:sz="4" w:space="0" w:color="auto"/>
                    <w:left w:val="single" w:sz="4" w:space="0" w:color="auto"/>
                    <w:bottom w:val="single" w:sz="4" w:space="0" w:color="auto"/>
                    <w:right w:val="single" w:sz="4" w:space="0" w:color="auto"/>
                  </w:tcBorders>
                </w:tcPr>
                <w:p w14:paraId="189838F3"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2CD80EB" w14:textId="77777777" w:rsidR="005C2432" w:rsidRPr="00F939F2" w:rsidRDefault="005C2432" w:rsidP="005C2432">
                  <w:pPr>
                    <w:rPr>
                      <w:rFonts w:ascii="Cambria" w:hAnsi="Cambria" w:cs="Arial"/>
                      <w:i/>
                      <w:color w:val="002060"/>
                      <w:sz w:val="20"/>
                      <w:lang w:val="en-GB"/>
                    </w:rPr>
                  </w:pPr>
                </w:p>
              </w:tc>
            </w:tr>
            <w:tr w:rsidR="005C2432" w:rsidRPr="006403CB" w14:paraId="40AF723F" w14:textId="77777777" w:rsidTr="00206BAF">
              <w:tc>
                <w:tcPr>
                  <w:tcW w:w="2467" w:type="dxa"/>
                  <w:tcBorders>
                    <w:top w:val="single" w:sz="4" w:space="0" w:color="auto"/>
                    <w:left w:val="single" w:sz="4" w:space="0" w:color="auto"/>
                    <w:bottom w:val="single" w:sz="4" w:space="0" w:color="auto"/>
                    <w:right w:val="single" w:sz="4" w:space="0" w:color="auto"/>
                  </w:tcBorders>
                </w:tcPr>
                <w:p w14:paraId="2810201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ACFE96" w14:textId="77777777" w:rsidR="005C2432" w:rsidRPr="00F939F2" w:rsidRDefault="005C2432" w:rsidP="005C2432">
                  <w:pPr>
                    <w:jc w:val="center"/>
                    <w:rPr>
                      <w:rFonts w:ascii="Cambria" w:hAnsi="Cambria" w:cs="Arial"/>
                      <w:color w:val="002060"/>
                      <w:sz w:val="20"/>
                      <w:lang w:val="en-GB"/>
                    </w:rPr>
                  </w:pPr>
                </w:p>
              </w:tc>
            </w:tr>
            <w:tr w:rsidR="005C2432" w:rsidRPr="006403CB" w14:paraId="15C10AC8" w14:textId="77777777" w:rsidTr="00206BAF">
              <w:tc>
                <w:tcPr>
                  <w:tcW w:w="2467" w:type="dxa"/>
                  <w:tcBorders>
                    <w:top w:val="single" w:sz="4" w:space="0" w:color="auto"/>
                    <w:left w:val="single" w:sz="4" w:space="0" w:color="auto"/>
                    <w:bottom w:val="single" w:sz="4" w:space="0" w:color="auto"/>
                    <w:right w:val="single" w:sz="4" w:space="0" w:color="auto"/>
                  </w:tcBorders>
                </w:tcPr>
                <w:p w14:paraId="25BEA5BE" w14:textId="77777777" w:rsidR="005C2432" w:rsidRPr="00F939F2" w:rsidRDefault="004A231B" w:rsidP="005C2432">
                  <w:pPr>
                    <w:rPr>
                      <w:rFonts w:ascii="Cambria" w:hAnsi="Cambria"/>
                      <w:iCs/>
                      <w:color w:val="002060"/>
                      <w:sz w:val="20"/>
                      <w:lang w:val="en-GB"/>
                    </w:rPr>
                  </w:pPr>
                  <w:r>
                    <w:t>Total hours</w:t>
                  </w:r>
                </w:p>
              </w:tc>
              <w:tc>
                <w:tcPr>
                  <w:tcW w:w="2468" w:type="dxa"/>
                  <w:tcBorders>
                    <w:top w:val="single" w:sz="4" w:space="0" w:color="auto"/>
                    <w:left w:val="single" w:sz="4" w:space="0" w:color="auto"/>
                    <w:bottom w:val="single" w:sz="4" w:space="0" w:color="auto"/>
                    <w:right w:val="single" w:sz="4" w:space="0" w:color="auto"/>
                  </w:tcBorders>
                  <w:vAlign w:val="center"/>
                </w:tcPr>
                <w:p w14:paraId="1DE92F1C" w14:textId="77777777" w:rsidR="005C2432" w:rsidRPr="00F939F2" w:rsidRDefault="004A231B" w:rsidP="005C2432">
                  <w:pPr>
                    <w:jc w:val="center"/>
                    <w:rPr>
                      <w:rFonts w:ascii="Cambria" w:hAnsi="Cambria" w:cs="Arial"/>
                      <w:b/>
                      <w:i/>
                      <w:color w:val="002060"/>
                      <w:sz w:val="20"/>
                      <w:lang w:val="en-GB"/>
                    </w:rPr>
                  </w:pPr>
                  <w:r>
                    <w:t>76 hours</w:t>
                  </w:r>
                </w:p>
              </w:tc>
            </w:tr>
          </w:tbl>
          <w:p w14:paraId="29C76AAE" w14:textId="77777777" w:rsidR="005D23EB" w:rsidRPr="006403CB" w:rsidRDefault="005D23EB" w:rsidP="00C822F5">
            <w:pPr>
              <w:rPr>
                <w:rFonts w:ascii="Cambria" w:hAnsi="Cambria" w:cs="Tahoma"/>
                <w:lang w:val="en-GB"/>
              </w:rPr>
            </w:pPr>
          </w:p>
        </w:tc>
      </w:tr>
      <w:tr w:rsidR="005D23EB" w:rsidRPr="004D02EC" w14:paraId="38282B20" w14:textId="77777777" w:rsidTr="00C822F5">
        <w:tc>
          <w:tcPr>
            <w:tcW w:w="3306" w:type="dxa"/>
          </w:tcPr>
          <w:p w14:paraId="5C2997E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42B5AF8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4F1B4E0B" w14:textId="77777777" w:rsidR="005D23EB" w:rsidRPr="006403CB" w:rsidRDefault="005D23EB" w:rsidP="00C822F5">
            <w:pPr>
              <w:jc w:val="both"/>
              <w:rPr>
                <w:rFonts w:ascii="Cambria" w:hAnsi="Cambria" w:cs="Arial"/>
                <w:i/>
                <w:sz w:val="16"/>
                <w:szCs w:val="16"/>
                <w:lang w:val="en-GB"/>
              </w:rPr>
            </w:pPr>
          </w:p>
          <w:p w14:paraId="658DD5D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multiple choice questionnaires, short-answer questions, open-ended questions, problem solving, </w:t>
            </w:r>
            <w:r w:rsidRPr="006403CB">
              <w:rPr>
                <w:rFonts w:ascii="Cambria" w:hAnsi="Cambria" w:cs="Arial"/>
                <w:i/>
                <w:sz w:val="16"/>
                <w:szCs w:val="16"/>
                <w:lang w:val="en-GB"/>
              </w:rPr>
              <w:lastRenderedPageBreak/>
              <w:t>written work, essay/report, oral examination, public presentation, laboratory work, clinical examination of patient, art interpretation, other</w:t>
            </w:r>
          </w:p>
          <w:p w14:paraId="0D51446B" w14:textId="77777777" w:rsidR="005D23EB" w:rsidRPr="006403CB" w:rsidRDefault="005D23EB" w:rsidP="00C822F5">
            <w:pPr>
              <w:jc w:val="both"/>
              <w:rPr>
                <w:rFonts w:ascii="Cambria" w:hAnsi="Cambria" w:cs="Arial"/>
                <w:i/>
                <w:sz w:val="16"/>
                <w:szCs w:val="16"/>
                <w:lang w:val="en-GB"/>
              </w:rPr>
            </w:pPr>
          </w:p>
          <w:p w14:paraId="01BA6FE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686398C7" w14:textId="77777777" w:rsidR="00F939F2" w:rsidRPr="001007E4" w:rsidRDefault="00F939F2" w:rsidP="00C822F5">
            <w:pPr>
              <w:rPr>
                <w:rFonts w:ascii="Cambria" w:hAnsi="Cambria" w:cs="Arial"/>
                <w:color w:val="002060"/>
                <w:sz w:val="20"/>
                <w:szCs w:val="20"/>
                <w:lang w:val="en-GB"/>
              </w:rPr>
            </w:pPr>
          </w:p>
          <w:p w14:paraId="4FE8FC69" w14:textId="77777777" w:rsidR="005D23EB" w:rsidRPr="004D02EC" w:rsidRDefault="004A231B" w:rsidP="005C2432">
            <w:pPr>
              <w:rPr>
                <w:rFonts w:ascii="Cambria" w:hAnsi="Cambria" w:cs="Arial"/>
                <w:color w:val="002060"/>
                <w:lang w:val="en-GB"/>
              </w:rPr>
            </w:pPr>
            <w:r>
              <w:t>Oral examinations</w:t>
            </w:r>
          </w:p>
        </w:tc>
      </w:tr>
    </w:tbl>
    <w:p w14:paraId="6B1B856F" w14:textId="77777777" w:rsidR="00994182" w:rsidRDefault="00994182" w:rsidP="00994182">
      <w:pPr>
        <w:widowControl w:val="0"/>
        <w:autoSpaceDE w:val="0"/>
        <w:autoSpaceDN w:val="0"/>
        <w:adjustRightInd w:val="0"/>
        <w:spacing w:before="240" w:after="200" w:line="276" w:lineRule="auto"/>
        <w:ind w:left="357"/>
        <w:rPr>
          <w:rFonts w:ascii="Cambria" w:hAnsi="Cambria" w:cs="Arial"/>
          <w:b/>
          <w:color w:val="000000"/>
          <w:sz w:val="22"/>
          <w:szCs w:val="22"/>
          <w:lang w:val="en-GB"/>
        </w:rPr>
      </w:pPr>
    </w:p>
    <w:p w14:paraId="780B4270" w14:textId="51094150"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300BE64" w14:textId="77777777" w:rsidR="005D23EB" w:rsidRDefault="00AB02D2" w:rsidP="00AB02D2">
      <w:pPr>
        <w:widowControl w:val="0"/>
        <w:autoSpaceDE w:val="0"/>
        <w:autoSpaceDN w:val="0"/>
        <w:adjustRightInd w:val="0"/>
        <w:spacing w:before="240" w:after="200" w:line="276" w:lineRule="auto"/>
        <w:rPr>
          <w:rFonts w:ascii="Calibri" w:hAnsi="Calibri" w:cs="Arial"/>
          <w:i/>
          <w:sz w:val="20"/>
          <w:szCs w:val="16"/>
          <w:lang w:val="el-GR"/>
        </w:rPr>
      </w:pPr>
      <w:r w:rsidRPr="002740C2">
        <w:rPr>
          <w:rFonts w:ascii="Calibri" w:hAnsi="Calibri" w:cs="Arial"/>
          <w:i/>
          <w:sz w:val="20"/>
          <w:szCs w:val="16"/>
          <w:lang w:val="en-GB"/>
        </w:rPr>
        <w:t>Teaching - study material</w:t>
      </w:r>
    </w:p>
    <w:p w14:paraId="2E94FE56" w14:textId="77777777" w:rsidR="004A231B" w:rsidRDefault="004A231B" w:rsidP="004A231B">
      <w:r>
        <w:t>Infertility in Practice by A.H. Balen, H.S. Jacobs</w:t>
      </w:r>
      <w:r>
        <w:br/>
        <w:t>- Reproductive Endocrinology by Yen &amp; Jaffe</w:t>
      </w:r>
      <w:r>
        <w:br/>
        <w:t xml:space="preserve">- Clinical Endocrinology &amp; Infertility by Leon </w:t>
      </w:r>
      <w:proofErr w:type="spellStart"/>
      <w:r>
        <w:t>Speroff</w:t>
      </w:r>
      <w:proofErr w:type="spellEnd"/>
      <w:r>
        <w:t xml:space="preserve"> (8th Edition)</w:t>
      </w:r>
    </w:p>
    <w:p w14:paraId="24EDF453" w14:textId="77777777" w:rsidR="004A231B" w:rsidRPr="004A231B" w:rsidRDefault="004A231B" w:rsidP="00AB02D2">
      <w:pPr>
        <w:widowControl w:val="0"/>
        <w:autoSpaceDE w:val="0"/>
        <w:autoSpaceDN w:val="0"/>
        <w:adjustRightInd w:val="0"/>
        <w:spacing w:before="240" w:after="200" w:line="276" w:lineRule="auto"/>
        <w:rPr>
          <w:rFonts w:ascii="Cambria" w:hAnsi="Cambria" w:cs="Arial"/>
          <w:b/>
          <w:color w:val="000000"/>
          <w:sz w:val="22"/>
          <w:szCs w:val="22"/>
        </w:rPr>
      </w:pPr>
    </w:p>
    <w:bookmarkEnd w:id="0"/>
    <w:p w14:paraId="57C2C7C7" w14:textId="77777777" w:rsidR="005D23EB" w:rsidRPr="004A231B" w:rsidRDefault="005D23EB" w:rsidP="00836326"/>
    <w:sectPr w:rsidR="005D23EB" w:rsidRPr="004A231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AB0F" w14:textId="77777777" w:rsidR="009E5AB1" w:rsidRDefault="009E5AB1">
      <w:r>
        <w:separator/>
      </w:r>
    </w:p>
  </w:endnote>
  <w:endnote w:type="continuationSeparator" w:id="0">
    <w:p w14:paraId="1BEEA304" w14:textId="77777777" w:rsidR="009E5AB1" w:rsidRDefault="009E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0FB10" w14:textId="77777777" w:rsidR="009E5AB1" w:rsidRDefault="009E5AB1">
      <w:r>
        <w:separator/>
      </w:r>
    </w:p>
  </w:footnote>
  <w:footnote w:type="continuationSeparator" w:id="0">
    <w:p w14:paraId="0E8CBF08" w14:textId="77777777" w:rsidR="009E5AB1" w:rsidRDefault="009E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3132" w14:textId="77777777" w:rsidR="005D23EB" w:rsidRDefault="000C390F">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3AC50D1A"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3DF1648A" w14:textId="77777777" w:rsidR="00293C01" w:rsidRDefault="000C390F">
        <w:pPr>
          <w:pStyle w:val="a6"/>
          <w:jc w:val="right"/>
        </w:pPr>
        <w:r>
          <w:fldChar w:fldCharType="begin"/>
        </w:r>
        <w:r w:rsidR="00803AE9">
          <w:instrText xml:space="preserve"> PAGE   \* MERGEFORMAT </w:instrText>
        </w:r>
        <w:r>
          <w:fldChar w:fldCharType="separate"/>
        </w:r>
        <w:r w:rsidR="00002F20">
          <w:rPr>
            <w:noProof/>
          </w:rPr>
          <w:t>1</w:t>
        </w:r>
        <w:r>
          <w:rPr>
            <w:noProof/>
          </w:rPr>
          <w:fldChar w:fldCharType="end"/>
        </w:r>
      </w:p>
    </w:sdtContent>
  </w:sdt>
  <w:p w14:paraId="70AACBEF"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656110723">
    <w:abstractNumId w:val="3"/>
  </w:num>
  <w:num w:numId="2" w16cid:durableId="1916161048">
    <w:abstractNumId w:val="9"/>
  </w:num>
  <w:num w:numId="3" w16cid:durableId="164126494">
    <w:abstractNumId w:val="5"/>
  </w:num>
  <w:num w:numId="4" w16cid:durableId="75833164">
    <w:abstractNumId w:val="8"/>
  </w:num>
  <w:num w:numId="5" w16cid:durableId="1697192326">
    <w:abstractNumId w:val="7"/>
  </w:num>
  <w:num w:numId="6" w16cid:durableId="2145198626">
    <w:abstractNumId w:val="4"/>
  </w:num>
  <w:num w:numId="7" w16cid:durableId="310449669">
    <w:abstractNumId w:val="6"/>
  </w:num>
  <w:num w:numId="8" w16cid:durableId="703944213">
    <w:abstractNumId w:val="1"/>
  </w:num>
  <w:num w:numId="9" w16cid:durableId="252083442">
    <w:abstractNumId w:val="2"/>
  </w:num>
  <w:num w:numId="10" w16cid:durableId="43105228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2F20"/>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90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31B"/>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3935"/>
    <w:rsid w:val="0081541E"/>
    <w:rsid w:val="00816AC1"/>
    <w:rsid w:val="00821D05"/>
    <w:rsid w:val="00823CF1"/>
    <w:rsid w:val="00825F04"/>
    <w:rsid w:val="0082674F"/>
    <w:rsid w:val="00826DBC"/>
    <w:rsid w:val="008310CB"/>
    <w:rsid w:val="008319C4"/>
    <w:rsid w:val="00831CE8"/>
    <w:rsid w:val="008359FA"/>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4182"/>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AB1"/>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074"/>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7F0B05"/>
  <w15:docId w15:val="{56DE664A-EAC1-44B3-9160-D1D07CBB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842</Words>
  <Characters>4551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2025-01-16T10:37:00Z</dcterms:created>
  <dcterms:modified xsi:type="dcterms:W3CDTF">2025-01-22T08:06:00Z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