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102AB" w14:textId="77777777" w:rsidR="00257546" w:rsidRPr="00257546" w:rsidRDefault="00257546" w:rsidP="00257546">
      <w:r w:rsidRPr="00257546">
        <w:rPr>
          <w:b/>
          <w:bCs/>
        </w:rPr>
        <w:t>COURSE OUTLINE</w:t>
      </w:r>
    </w:p>
    <w:p w14:paraId="07B03636" w14:textId="77777777" w:rsidR="00257546" w:rsidRPr="00257546" w:rsidRDefault="00257546" w:rsidP="00257546">
      <w:pPr>
        <w:numPr>
          <w:ilvl w:val="0"/>
          <w:numId w:val="1"/>
        </w:numPr>
        <w:rPr>
          <w:b/>
          <w:bCs/>
        </w:rPr>
      </w:pPr>
      <w:r w:rsidRPr="00257546">
        <w:rPr>
          <w:b/>
          <w:bCs/>
        </w:rPr>
        <w:t>GENERAL</w:t>
      </w:r>
    </w:p>
    <w:tbl>
      <w:tblPr>
        <w:tblW w:w="0" w:type="auto"/>
        <w:tblCellMar>
          <w:top w:w="15" w:type="dxa"/>
          <w:left w:w="15" w:type="dxa"/>
          <w:bottom w:w="15" w:type="dxa"/>
          <w:right w:w="15" w:type="dxa"/>
        </w:tblCellMar>
        <w:tblLook w:val="04A0" w:firstRow="1" w:lastRow="0" w:firstColumn="1" w:lastColumn="0" w:noHBand="0" w:noVBand="1"/>
      </w:tblPr>
      <w:tblGrid>
        <w:gridCol w:w="3437"/>
        <w:gridCol w:w="1792"/>
        <w:gridCol w:w="2554"/>
        <w:gridCol w:w="1567"/>
      </w:tblGrid>
      <w:tr w:rsidR="00257546" w:rsidRPr="00257546" w14:paraId="63E9D57C" w14:textId="77777777" w:rsidTr="00257546">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hideMark/>
          </w:tcPr>
          <w:p w14:paraId="0E1C722A" w14:textId="77777777" w:rsidR="00257546" w:rsidRPr="00257546" w:rsidRDefault="00257546" w:rsidP="00257546">
            <w:r w:rsidRPr="00257546">
              <w:rPr>
                <w:b/>
                <w:bCs/>
              </w:rPr>
              <w:t>SCHOOL</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45FBD" w14:textId="77777777" w:rsidR="00257546" w:rsidRPr="008C196E" w:rsidRDefault="00257546" w:rsidP="00257546">
            <w:r w:rsidRPr="008C196E">
              <w:t>School of Health Sciences</w:t>
            </w:r>
          </w:p>
        </w:tc>
      </w:tr>
      <w:tr w:rsidR="00257546" w:rsidRPr="00257546" w14:paraId="660953AF" w14:textId="77777777" w:rsidTr="00257546">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hideMark/>
          </w:tcPr>
          <w:p w14:paraId="1CAFF1C2" w14:textId="77777777" w:rsidR="00257546" w:rsidRPr="00257546" w:rsidRDefault="00257546" w:rsidP="00257546">
            <w:r w:rsidRPr="00257546">
              <w:rPr>
                <w:b/>
                <w:bCs/>
              </w:rPr>
              <w:t>ACADEMIC UNIT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A4EAF" w14:textId="77777777" w:rsidR="00257546" w:rsidRPr="008C196E" w:rsidRDefault="00257546" w:rsidP="00257546">
            <w:r w:rsidRPr="008C196E">
              <w:t>Faculty of Medicine</w:t>
            </w:r>
          </w:p>
        </w:tc>
      </w:tr>
      <w:tr w:rsidR="00257546" w:rsidRPr="00257546" w14:paraId="4CA23FDE" w14:textId="77777777" w:rsidTr="00257546">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hideMark/>
          </w:tcPr>
          <w:p w14:paraId="0EDC3EB0" w14:textId="77777777" w:rsidR="00257546" w:rsidRPr="00257546" w:rsidRDefault="00257546" w:rsidP="00257546">
            <w:r w:rsidRPr="00257546">
              <w:rPr>
                <w:b/>
                <w:bCs/>
              </w:rPr>
              <w:t>LEVEL OF STUDIES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D9ECF" w14:textId="77777777" w:rsidR="00257546" w:rsidRPr="00833C83" w:rsidRDefault="00257546" w:rsidP="00257546">
            <w:r w:rsidRPr="00833C83">
              <w:t>Undergraduate</w:t>
            </w:r>
          </w:p>
        </w:tc>
      </w:tr>
      <w:tr w:rsidR="00257546" w:rsidRPr="00257546" w14:paraId="6D852EB7" w14:textId="77777777" w:rsidTr="00257546">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hideMark/>
          </w:tcPr>
          <w:p w14:paraId="07790B3B" w14:textId="77777777" w:rsidR="00257546" w:rsidRPr="00257546" w:rsidRDefault="00257546" w:rsidP="00257546">
            <w:r w:rsidRPr="00257546">
              <w:rPr>
                <w:b/>
                <w:bCs/>
              </w:rPr>
              <w:t>COURSE 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09945" w14:textId="6F87A0C8" w:rsidR="00257546" w:rsidRPr="00833C83" w:rsidRDefault="00833C83" w:rsidP="00257546">
            <w:r w:rsidRPr="00833C83">
              <w:rPr>
                <w:rFonts w:cs="Calibri"/>
              </w:rPr>
              <w:t>ΙΑΥΑ14</w:t>
            </w:r>
          </w:p>
        </w:tc>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hideMark/>
          </w:tcPr>
          <w:p w14:paraId="16F4C6CF" w14:textId="77777777" w:rsidR="00257546" w:rsidRPr="00257546" w:rsidRDefault="00257546" w:rsidP="00257546">
            <w:r w:rsidRPr="00257546">
              <w:rPr>
                <w:b/>
                <w:bCs/>
              </w:rPr>
              <w:t>SEMESTER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BA567" w14:textId="1BE63260" w:rsidR="00257546" w:rsidRPr="008C196E" w:rsidRDefault="00257546" w:rsidP="00257546">
            <w:r w:rsidRPr="008C196E">
              <w:t>8th</w:t>
            </w:r>
          </w:p>
        </w:tc>
      </w:tr>
      <w:tr w:rsidR="00257546" w:rsidRPr="00257546" w14:paraId="4107DDC1" w14:textId="77777777" w:rsidTr="00257546">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295E1B91" w14:textId="77777777" w:rsidR="00257546" w:rsidRPr="00257546" w:rsidRDefault="00257546" w:rsidP="00257546">
            <w:r w:rsidRPr="00257546">
              <w:rPr>
                <w:b/>
                <w:bCs/>
              </w:rPr>
              <w:t>COURSE TITLE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45189" w14:textId="77777777" w:rsidR="00257546" w:rsidRPr="00257546" w:rsidRDefault="00257546" w:rsidP="00257546"/>
          <w:p w14:paraId="2FC8AFAA" w14:textId="77777777" w:rsidR="00257546" w:rsidRPr="008C196E" w:rsidRDefault="00257546" w:rsidP="00257546">
            <w:r w:rsidRPr="008C196E">
              <w:t>Otolaryngology</w:t>
            </w:r>
          </w:p>
        </w:tc>
      </w:tr>
      <w:tr w:rsidR="00257546" w:rsidRPr="00257546" w14:paraId="4F0BDB37" w14:textId="77777777" w:rsidTr="00257546">
        <w:trPr>
          <w:trHeight w:val="19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65D31C83" w14:textId="77777777" w:rsidR="00257546" w:rsidRPr="00257546" w:rsidRDefault="00257546" w:rsidP="00257546">
            <w:r w:rsidRPr="00257546">
              <w:rPr>
                <w:b/>
                <w:bCs/>
              </w:rPr>
              <w:t xml:space="preserve">INDEPENDENT TEACHING ACTIVITIES </w:t>
            </w:r>
            <w:r w:rsidRPr="00257546">
              <w:rPr>
                <w:b/>
                <w:bCs/>
              </w:rPr>
              <w:br/>
            </w:r>
            <w:r w:rsidRPr="00257546">
              <w:rPr>
                <w:i/>
                <w:iCs/>
              </w:rPr>
              <w:t>if credits are awarded for separate components of the course, e.g. lectures, laboratory exercises, etc. If the credits are awarded for the whole of the course, give the weekly teaching hours and the total credits</w:t>
            </w:r>
          </w:p>
        </w:tc>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6EF9C0E7" w14:textId="77777777" w:rsidR="00257546" w:rsidRPr="00257546" w:rsidRDefault="00257546" w:rsidP="00257546">
            <w:r w:rsidRPr="00257546">
              <w:rPr>
                <w:b/>
                <w:bCs/>
              </w:rPr>
              <w:t>WEEKLY TEACHING HOURS</w:t>
            </w:r>
          </w:p>
        </w:tc>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7E6A4CA9" w14:textId="77777777" w:rsidR="00257546" w:rsidRPr="00257546" w:rsidRDefault="00257546" w:rsidP="00257546">
            <w:r w:rsidRPr="00257546">
              <w:rPr>
                <w:b/>
                <w:bCs/>
              </w:rPr>
              <w:t>CREDITS</w:t>
            </w:r>
          </w:p>
        </w:tc>
      </w:tr>
      <w:tr w:rsidR="00257546" w:rsidRPr="00257546" w14:paraId="0680F573" w14:textId="77777777" w:rsidTr="00257546">
        <w:trPr>
          <w:trHeight w:val="19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E5B582" w14:textId="77777777" w:rsidR="00257546" w:rsidRPr="00257546" w:rsidRDefault="00257546" w:rsidP="00257546"/>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0FE9D" w14:textId="77777777" w:rsidR="00257546" w:rsidRPr="00257546" w:rsidRDefault="00257546" w:rsidP="00257546">
            <w:r w:rsidRPr="00257546">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E4A454" w14:textId="77777777" w:rsidR="00257546" w:rsidRPr="00257546" w:rsidRDefault="00257546" w:rsidP="00257546"/>
        </w:tc>
      </w:tr>
      <w:tr w:rsidR="00257546" w:rsidRPr="00257546" w14:paraId="72420FA2" w14:textId="77777777" w:rsidTr="00257546">
        <w:trPr>
          <w:trHeight w:val="19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4E278" w14:textId="77777777" w:rsidR="00257546" w:rsidRPr="00257546" w:rsidRDefault="00257546" w:rsidP="00257546"/>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80D714" w14:textId="77777777" w:rsidR="00257546" w:rsidRPr="00257546" w:rsidRDefault="00257546" w:rsidP="00257546"/>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C81108" w14:textId="77777777" w:rsidR="00257546" w:rsidRPr="00257546" w:rsidRDefault="00257546" w:rsidP="00257546"/>
        </w:tc>
      </w:tr>
      <w:tr w:rsidR="00257546" w:rsidRPr="00257546" w14:paraId="7FEB5F1F" w14:textId="77777777" w:rsidTr="00257546">
        <w:trPr>
          <w:trHeight w:val="19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5EAEBD" w14:textId="77777777" w:rsidR="00257546" w:rsidRPr="00257546" w:rsidRDefault="00257546" w:rsidP="00257546"/>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2704A" w14:textId="77777777" w:rsidR="00257546" w:rsidRPr="00257546" w:rsidRDefault="00257546" w:rsidP="00257546"/>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A8274" w14:textId="77777777" w:rsidR="00257546" w:rsidRPr="00257546" w:rsidRDefault="00257546" w:rsidP="00257546"/>
        </w:tc>
      </w:tr>
      <w:tr w:rsidR="00257546" w:rsidRPr="00257546" w14:paraId="198D6FF7" w14:textId="77777777" w:rsidTr="00257546">
        <w:trPr>
          <w:trHeight w:val="19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hideMark/>
          </w:tcPr>
          <w:p w14:paraId="03AD374E" w14:textId="77777777" w:rsidR="00257546" w:rsidRPr="00257546" w:rsidRDefault="00257546" w:rsidP="00257546">
            <w:r w:rsidRPr="00257546">
              <w:rPr>
                <w:i/>
                <w:iCs/>
              </w:rPr>
              <w:t xml:space="preserve">Add rows if necessary. The </w:t>
            </w:r>
            <w:proofErr w:type="spellStart"/>
            <w:r w:rsidRPr="00257546">
              <w:rPr>
                <w:i/>
                <w:iCs/>
              </w:rPr>
              <w:t>organisation</w:t>
            </w:r>
            <w:proofErr w:type="spellEnd"/>
            <w:r w:rsidRPr="00257546">
              <w:rPr>
                <w:i/>
                <w:iCs/>
              </w:rPr>
              <w:t xml:space="preserve"> of teaching and the teaching methods used are described in detail at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F555F" w14:textId="77777777" w:rsidR="00257546" w:rsidRPr="00257546" w:rsidRDefault="00257546" w:rsidP="00257546"/>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AF387" w14:textId="77777777" w:rsidR="00257546" w:rsidRPr="00257546" w:rsidRDefault="00257546" w:rsidP="00257546"/>
        </w:tc>
      </w:tr>
      <w:tr w:rsidR="00257546" w:rsidRPr="00257546" w14:paraId="6A55B718" w14:textId="77777777" w:rsidTr="00257546">
        <w:trPr>
          <w:trHeight w:val="599"/>
        </w:trPr>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hideMark/>
          </w:tcPr>
          <w:p w14:paraId="620D1C1D" w14:textId="77777777" w:rsidR="00257546" w:rsidRPr="00257546" w:rsidRDefault="00257546" w:rsidP="00257546">
            <w:r w:rsidRPr="00257546">
              <w:rPr>
                <w:b/>
                <w:bCs/>
              </w:rPr>
              <w:t>COURSE TYPE</w:t>
            </w:r>
            <w:r w:rsidRPr="00257546">
              <w:rPr>
                <w:i/>
                <w:iCs/>
              </w:rPr>
              <w:t> </w:t>
            </w:r>
          </w:p>
          <w:p w14:paraId="2BFC6605" w14:textId="77777777" w:rsidR="00257546" w:rsidRPr="00257546" w:rsidRDefault="00257546" w:rsidP="00257546">
            <w:r w:rsidRPr="00257546">
              <w:rPr>
                <w:i/>
                <w:iCs/>
              </w:rPr>
              <w:t xml:space="preserve">general background, </w:t>
            </w:r>
            <w:r w:rsidRPr="00257546">
              <w:rPr>
                <w:i/>
                <w:iCs/>
              </w:rPr>
              <w:br/>
              <w:t xml:space="preserve">special background, </w:t>
            </w:r>
            <w:proofErr w:type="spellStart"/>
            <w:r w:rsidRPr="00257546">
              <w:rPr>
                <w:i/>
                <w:iCs/>
              </w:rPr>
              <w:t>specialised</w:t>
            </w:r>
            <w:proofErr w:type="spellEnd"/>
            <w:r w:rsidRPr="00257546">
              <w:rPr>
                <w:i/>
                <w:iCs/>
              </w:rPr>
              <w:t xml:space="preserve"> general knowledge, skills development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E28D5C" w14:textId="31C22C60" w:rsidR="00257546" w:rsidRPr="008C196E" w:rsidRDefault="00257546" w:rsidP="00257546">
            <w:r w:rsidRPr="008C196E">
              <w:t>We are committed to providing medical students with a robust training exposure in the specialty of Otolaryngology- Head &amp; Neck Surgery during</w:t>
            </w:r>
            <w:r w:rsidR="008C196E" w:rsidRPr="008C196E">
              <w:t xml:space="preserve"> a</w:t>
            </w:r>
            <w:r w:rsidRPr="008C196E">
              <w:t xml:space="preserve"> 5</w:t>
            </w:r>
            <w:r w:rsidR="008C196E" w:rsidRPr="008C196E">
              <w:t xml:space="preserve"> </w:t>
            </w:r>
            <w:proofErr w:type="gramStart"/>
            <w:r w:rsidRPr="008C196E">
              <w:t>weeks</w:t>
            </w:r>
            <w:proofErr w:type="gramEnd"/>
            <w:r w:rsidRPr="008C196E">
              <w:t xml:space="preserve"> rotation. There is extensive exposure in the subspecialty fields of General Otolaryngology, Head &amp; Neck Surgical Oncology, Facial Plastic and Reconstructive Surgery, Rhinology, </w:t>
            </w:r>
            <w:proofErr w:type="spellStart"/>
            <w:r w:rsidRPr="008C196E">
              <w:t>Otolaryngic</w:t>
            </w:r>
            <w:proofErr w:type="spellEnd"/>
            <w:r w:rsidRPr="008C196E">
              <w:t xml:space="preserve"> Allergy, Head &amp; Neck Ultrasonography, Pediatric Otolaryngology, Audiology.</w:t>
            </w:r>
          </w:p>
        </w:tc>
      </w:tr>
      <w:tr w:rsidR="00257546" w:rsidRPr="00257546" w14:paraId="164DAF40" w14:textId="77777777" w:rsidTr="00257546">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hideMark/>
          </w:tcPr>
          <w:p w14:paraId="755E0828" w14:textId="77777777" w:rsidR="00257546" w:rsidRPr="00257546" w:rsidRDefault="00257546" w:rsidP="00257546">
            <w:r w:rsidRPr="00257546">
              <w:rPr>
                <w:b/>
                <w:bCs/>
              </w:rPr>
              <w:t>PREREQUISITE COURSES:</w:t>
            </w:r>
          </w:p>
          <w:p w14:paraId="336BCAB6" w14:textId="77777777" w:rsidR="00257546" w:rsidRPr="00257546" w:rsidRDefault="00257546" w:rsidP="00257546"/>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C7C69" w14:textId="16FD3BDC" w:rsidR="00257546" w:rsidRPr="008C196E" w:rsidRDefault="00257546" w:rsidP="00257546">
            <w:r w:rsidRPr="008C196E">
              <w:t>Completion of semesters 1</w:t>
            </w:r>
            <w:r w:rsidR="008C196E" w:rsidRPr="008C196E">
              <w:t>st</w:t>
            </w:r>
            <w:r w:rsidRPr="008C196E">
              <w:t>-6th according to the Medical School Curriculum</w:t>
            </w:r>
          </w:p>
        </w:tc>
      </w:tr>
      <w:tr w:rsidR="00257546" w:rsidRPr="00257546" w14:paraId="06B5B96A" w14:textId="77777777" w:rsidTr="00257546">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hideMark/>
          </w:tcPr>
          <w:p w14:paraId="3D48DB54" w14:textId="77777777" w:rsidR="00257546" w:rsidRPr="00257546" w:rsidRDefault="00257546" w:rsidP="00257546">
            <w:r w:rsidRPr="00257546">
              <w:rPr>
                <w:b/>
                <w:bCs/>
              </w:rPr>
              <w:t>LANGUAGE OF INSTRUCTION and EXAMINATIONS: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12FE62" w14:textId="77777777" w:rsidR="00257546" w:rsidRPr="008C196E" w:rsidRDefault="00257546" w:rsidP="00257546">
            <w:r w:rsidRPr="008C196E">
              <w:t>Greek</w:t>
            </w:r>
          </w:p>
        </w:tc>
      </w:tr>
      <w:tr w:rsidR="00257546" w:rsidRPr="00257546" w14:paraId="7E497531" w14:textId="77777777" w:rsidTr="00257546">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hideMark/>
          </w:tcPr>
          <w:p w14:paraId="0496D9C0" w14:textId="77777777" w:rsidR="00257546" w:rsidRPr="00257546" w:rsidRDefault="00257546" w:rsidP="00257546">
            <w:r w:rsidRPr="00257546">
              <w:rPr>
                <w:b/>
                <w:bCs/>
              </w:rPr>
              <w:t>IS THE COURSE OFFERED TO ERASMUS STUDENTS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2C3DBE" w14:textId="77777777" w:rsidR="00257546" w:rsidRPr="008C196E" w:rsidRDefault="00257546" w:rsidP="00257546">
            <w:r w:rsidRPr="008C196E">
              <w:t>Yes</w:t>
            </w:r>
          </w:p>
        </w:tc>
      </w:tr>
      <w:tr w:rsidR="00257546" w:rsidRPr="00257546" w14:paraId="04034CBF" w14:textId="77777777" w:rsidTr="00257546">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hideMark/>
          </w:tcPr>
          <w:p w14:paraId="6321CA77" w14:textId="77777777" w:rsidR="00257546" w:rsidRPr="00257546" w:rsidRDefault="00257546" w:rsidP="00257546">
            <w:r w:rsidRPr="00257546">
              <w:rPr>
                <w:b/>
                <w:bCs/>
              </w:rPr>
              <w:t>COURSE WEBSITE (URL)</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612634" w14:textId="77777777" w:rsidR="00257546" w:rsidRPr="00257546" w:rsidRDefault="00257546" w:rsidP="00257546">
            <w:hyperlink r:id="rId5" w:history="1">
              <w:r w:rsidRPr="00257546">
                <w:rPr>
                  <w:rStyle w:val="-"/>
                </w:rPr>
                <w:t>https://orl.med.uoi.gr/</w:t>
              </w:r>
            </w:hyperlink>
          </w:p>
        </w:tc>
      </w:tr>
    </w:tbl>
    <w:p w14:paraId="0DA3E32D" w14:textId="77777777" w:rsidR="00257546" w:rsidRPr="00257546" w:rsidRDefault="00257546" w:rsidP="00257546">
      <w:r w:rsidRPr="00257546">
        <w:br/>
      </w:r>
      <w:r w:rsidRPr="00257546">
        <w:br/>
      </w:r>
      <w:r w:rsidRPr="00257546">
        <w:br/>
      </w:r>
      <w:r w:rsidRPr="00257546">
        <w:br/>
      </w:r>
      <w:r w:rsidRPr="00257546">
        <w:br/>
      </w:r>
      <w:r w:rsidRPr="00257546">
        <w:br/>
      </w:r>
    </w:p>
    <w:p w14:paraId="634EFA21" w14:textId="77777777" w:rsidR="00257546" w:rsidRPr="00257546" w:rsidRDefault="00257546" w:rsidP="00257546">
      <w:pPr>
        <w:numPr>
          <w:ilvl w:val="0"/>
          <w:numId w:val="2"/>
        </w:numPr>
        <w:rPr>
          <w:b/>
          <w:bCs/>
        </w:rPr>
      </w:pPr>
      <w:r w:rsidRPr="00257546">
        <w:rPr>
          <w:b/>
          <w:bCs/>
        </w:rPr>
        <w:t>LEARNING OUTCOMES</w:t>
      </w:r>
    </w:p>
    <w:tbl>
      <w:tblPr>
        <w:tblW w:w="0" w:type="auto"/>
        <w:tblCellMar>
          <w:top w:w="15" w:type="dxa"/>
          <w:left w:w="15" w:type="dxa"/>
          <w:bottom w:w="15" w:type="dxa"/>
          <w:right w:w="15" w:type="dxa"/>
        </w:tblCellMar>
        <w:tblLook w:val="04A0" w:firstRow="1" w:lastRow="0" w:firstColumn="1" w:lastColumn="0" w:noHBand="0" w:noVBand="1"/>
      </w:tblPr>
      <w:tblGrid>
        <w:gridCol w:w="4863"/>
        <w:gridCol w:w="4487"/>
      </w:tblGrid>
      <w:tr w:rsidR="00257546" w:rsidRPr="00257546" w14:paraId="66A3AE48" w14:textId="77777777" w:rsidTr="00257546">
        <w:tc>
          <w:tcPr>
            <w:tcW w:w="0" w:type="auto"/>
            <w:gridSpan w:val="2"/>
            <w:tcBorders>
              <w:top w:val="single" w:sz="4" w:space="0" w:color="000000"/>
              <w:left w:val="single" w:sz="4" w:space="0" w:color="000000"/>
              <w:right w:val="single" w:sz="4" w:space="0" w:color="000000"/>
            </w:tcBorders>
            <w:shd w:val="clear" w:color="auto" w:fill="DDD9C3"/>
            <w:tcMar>
              <w:top w:w="0" w:type="dxa"/>
              <w:left w:w="115" w:type="dxa"/>
              <w:bottom w:w="0" w:type="dxa"/>
              <w:right w:w="115" w:type="dxa"/>
            </w:tcMar>
            <w:hideMark/>
          </w:tcPr>
          <w:p w14:paraId="67DEBA73" w14:textId="77777777" w:rsidR="00257546" w:rsidRPr="00257546" w:rsidRDefault="00257546" w:rsidP="00257546">
            <w:r w:rsidRPr="00257546">
              <w:rPr>
                <w:b/>
                <w:bCs/>
              </w:rPr>
              <w:lastRenderedPageBreak/>
              <w:t>Learning outcomes</w:t>
            </w:r>
          </w:p>
        </w:tc>
      </w:tr>
      <w:tr w:rsidR="00257546" w:rsidRPr="00257546" w14:paraId="714B946B" w14:textId="77777777" w:rsidTr="00257546">
        <w:tc>
          <w:tcPr>
            <w:tcW w:w="0" w:type="auto"/>
            <w:gridSpan w:val="2"/>
            <w:tcBorders>
              <w:left w:val="single" w:sz="4" w:space="0" w:color="000000"/>
              <w:bottom w:val="single" w:sz="4" w:space="0" w:color="000000"/>
              <w:right w:val="single" w:sz="4" w:space="0" w:color="000000"/>
            </w:tcBorders>
            <w:shd w:val="clear" w:color="auto" w:fill="DDD9C3"/>
            <w:tcMar>
              <w:top w:w="0" w:type="dxa"/>
              <w:left w:w="115" w:type="dxa"/>
              <w:bottom w:w="0" w:type="dxa"/>
              <w:right w:w="115" w:type="dxa"/>
            </w:tcMar>
            <w:hideMark/>
          </w:tcPr>
          <w:p w14:paraId="3061FE90" w14:textId="77777777" w:rsidR="00257546" w:rsidRPr="00257546" w:rsidRDefault="00257546" w:rsidP="00257546">
            <w:r w:rsidRPr="00257546">
              <w:rPr>
                <w:i/>
                <w:iCs/>
              </w:rPr>
              <w:t>The course learning outcomes, specific knowledge, skills and competences of an appropriate level, which the students will acquire with the successful completion of the course are described.</w:t>
            </w:r>
          </w:p>
          <w:p w14:paraId="3A6F9E33" w14:textId="77777777" w:rsidR="00257546" w:rsidRPr="00257546" w:rsidRDefault="00257546" w:rsidP="00257546">
            <w:r w:rsidRPr="00257546">
              <w:rPr>
                <w:i/>
                <w:iCs/>
              </w:rPr>
              <w:t>Consult Appendix A </w:t>
            </w:r>
          </w:p>
          <w:p w14:paraId="6714D3BB" w14:textId="77777777" w:rsidR="00257546" w:rsidRPr="00257546" w:rsidRDefault="00257546" w:rsidP="00257546">
            <w:pPr>
              <w:numPr>
                <w:ilvl w:val="0"/>
                <w:numId w:val="3"/>
              </w:numPr>
              <w:rPr>
                <w:i/>
                <w:iCs/>
              </w:rPr>
            </w:pPr>
            <w:r w:rsidRPr="00257546">
              <w:rPr>
                <w:i/>
                <w:iCs/>
              </w:rPr>
              <w:t>Description of the level of learning outcomes for each qualifications cycle, according to the Qualifications Framework of the European Higher Education Area</w:t>
            </w:r>
          </w:p>
          <w:p w14:paraId="250B9888" w14:textId="77777777" w:rsidR="00257546" w:rsidRPr="00257546" w:rsidRDefault="00257546" w:rsidP="00257546">
            <w:pPr>
              <w:numPr>
                <w:ilvl w:val="0"/>
                <w:numId w:val="3"/>
              </w:numPr>
              <w:rPr>
                <w:i/>
                <w:iCs/>
              </w:rPr>
            </w:pPr>
            <w:r w:rsidRPr="00257546">
              <w:rPr>
                <w:i/>
                <w:iCs/>
              </w:rPr>
              <w:t>Descriptors for Levels 6, 7 &amp; 8 of the European Qualifications Framework for Lifelong Learning and Appendix B</w:t>
            </w:r>
          </w:p>
          <w:p w14:paraId="48E76CF3" w14:textId="77777777" w:rsidR="00257546" w:rsidRPr="00257546" w:rsidRDefault="00257546" w:rsidP="00257546">
            <w:pPr>
              <w:numPr>
                <w:ilvl w:val="0"/>
                <w:numId w:val="3"/>
              </w:numPr>
              <w:rPr>
                <w:i/>
                <w:iCs/>
              </w:rPr>
            </w:pPr>
            <w:r w:rsidRPr="00257546">
              <w:rPr>
                <w:i/>
                <w:iCs/>
              </w:rPr>
              <w:t>Guidelines for writing Learning Outcomes </w:t>
            </w:r>
          </w:p>
        </w:tc>
      </w:tr>
      <w:tr w:rsidR="00257546" w:rsidRPr="00257546" w14:paraId="0C56420A" w14:textId="77777777" w:rsidTr="00257546">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89CD85" w14:textId="77777777" w:rsidR="00257546" w:rsidRPr="008C196E" w:rsidRDefault="00257546" w:rsidP="00257546"/>
          <w:p w14:paraId="709E62DF" w14:textId="632FC5E8" w:rsidR="00257546" w:rsidRPr="008C196E" w:rsidRDefault="00257546" w:rsidP="008C196E">
            <w:pPr>
              <w:jc w:val="both"/>
            </w:pPr>
            <w:r w:rsidRPr="008C196E">
              <w:t>Medical students will rotate for 5 weeks. The maximum acceptance will be for</w:t>
            </w:r>
            <w:r w:rsidR="008C196E" w:rsidRPr="008C196E">
              <w:t xml:space="preserve"> </w:t>
            </w:r>
            <w:r w:rsidRPr="008C196E">
              <w:t>twenty</w:t>
            </w:r>
            <w:r w:rsidR="008C196E">
              <w:t>-</w:t>
            </w:r>
            <w:r w:rsidRPr="008C196E">
              <w:t xml:space="preserve">five students per rotation to allow excellent exposure of the rotating medical students to the Clinic. The rotation takes place in the Department of Otolaryngology, General University Hospital of Ioannina, Building B, 2nd floor. The rotation is designed to require the student to demonstrate evaluation, patient contact and management skills. The student will participate in direct patient care under the direct supervision and at the discretion of the supervisor. The student will gain </w:t>
            </w:r>
            <w:proofErr w:type="gramStart"/>
            <w:r w:rsidRPr="008C196E">
              <w:t>understanding</w:t>
            </w:r>
            <w:proofErr w:type="gramEnd"/>
            <w:r w:rsidRPr="008C196E">
              <w:t xml:space="preserve"> of the role of the Otolaryngologist as part of a care team.</w:t>
            </w:r>
          </w:p>
          <w:p w14:paraId="0743F316" w14:textId="77777777" w:rsidR="00257546" w:rsidRPr="008C196E" w:rsidRDefault="00257546" w:rsidP="008C196E">
            <w:pPr>
              <w:jc w:val="both"/>
            </w:pPr>
            <w:r w:rsidRPr="008C196E">
              <w:t>Rotation Goals:</w:t>
            </w:r>
          </w:p>
          <w:p w14:paraId="54D14006" w14:textId="77777777" w:rsidR="00257546" w:rsidRPr="008C196E" w:rsidRDefault="00257546" w:rsidP="008C196E">
            <w:pPr>
              <w:numPr>
                <w:ilvl w:val="0"/>
                <w:numId w:val="4"/>
              </w:numPr>
              <w:jc w:val="both"/>
            </w:pPr>
            <w:r w:rsidRPr="008C196E">
              <w:t>Improve the student’s clinical and communication skills with patients, families, communities, and professionals in health and other fields in a responsive and responsible manner so they can competently promote the health of their patients and the prevention and treatment of disease.</w:t>
            </w:r>
          </w:p>
          <w:p w14:paraId="7A920662" w14:textId="77777777" w:rsidR="00257546" w:rsidRPr="008C196E" w:rsidRDefault="00257546" w:rsidP="008C196E">
            <w:pPr>
              <w:numPr>
                <w:ilvl w:val="0"/>
                <w:numId w:val="4"/>
              </w:numPr>
              <w:jc w:val="both"/>
            </w:pPr>
            <w:r w:rsidRPr="008C196E">
              <w:t>Gain experience in Otolaryngology-Head &amp; Neck Surgery</w:t>
            </w:r>
          </w:p>
          <w:p w14:paraId="4F0BE67F" w14:textId="77777777" w:rsidR="00257546" w:rsidRPr="008C196E" w:rsidRDefault="00257546" w:rsidP="008C196E">
            <w:pPr>
              <w:numPr>
                <w:ilvl w:val="0"/>
                <w:numId w:val="4"/>
              </w:numPr>
              <w:jc w:val="both"/>
            </w:pPr>
            <w:r w:rsidRPr="008C196E">
              <w:t>Expand the student’s knowledge base and clinical skills and prepare them for future clinical practice and specialty training</w:t>
            </w:r>
          </w:p>
          <w:p w14:paraId="16966A95" w14:textId="77777777" w:rsidR="00257546" w:rsidRPr="008C196E" w:rsidRDefault="00257546" w:rsidP="008C196E">
            <w:pPr>
              <w:numPr>
                <w:ilvl w:val="0"/>
                <w:numId w:val="4"/>
              </w:numPr>
              <w:jc w:val="both"/>
            </w:pPr>
            <w:r w:rsidRPr="008C196E">
              <w:t>Exposure in surgical procedures in the office or the operating room</w:t>
            </w:r>
          </w:p>
          <w:p w14:paraId="2383A4CE" w14:textId="77777777" w:rsidR="00257546" w:rsidRPr="008C196E" w:rsidRDefault="00257546" w:rsidP="00257546">
            <w:r w:rsidRPr="008C196E">
              <w:br/>
            </w:r>
            <w:r w:rsidRPr="008C196E">
              <w:br/>
            </w:r>
            <w:r w:rsidRPr="008C196E">
              <w:br/>
            </w:r>
          </w:p>
        </w:tc>
      </w:tr>
      <w:tr w:rsidR="00257546" w:rsidRPr="00257546" w14:paraId="2736BD3C" w14:textId="77777777" w:rsidTr="00257546">
        <w:tc>
          <w:tcPr>
            <w:tcW w:w="0" w:type="auto"/>
            <w:gridSpan w:val="2"/>
            <w:tcBorders>
              <w:top w:val="single" w:sz="4" w:space="0" w:color="000000"/>
              <w:left w:val="single" w:sz="4" w:space="0" w:color="000000"/>
              <w:right w:val="single" w:sz="4" w:space="0" w:color="000000"/>
            </w:tcBorders>
            <w:shd w:val="clear" w:color="auto" w:fill="DDD9C3"/>
            <w:tcMar>
              <w:top w:w="0" w:type="dxa"/>
              <w:left w:w="115" w:type="dxa"/>
              <w:bottom w:w="0" w:type="dxa"/>
              <w:right w:w="115" w:type="dxa"/>
            </w:tcMar>
            <w:hideMark/>
          </w:tcPr>
          <w:p w14:paraId="64302CE2" w14:textId="77777777" w:rsidR="00257546" w:rsidRPr="00257546" w:rsidRDefault="00257546" w:rsidP="00257546">
            <w:r w:rsidRPr="00257546">
              <w:rPr>
                <w:b/>
                <w:bCs/>
              </w:rPr>
              <w:t>General Competences </w:t>
            </w:r>
          </w:p>
        </w:tc>
      </w:tr>
      <w:tr w:rsidR="00257546" w:rsidRPr="00257546" w14:paraId="628B0C89" w14:textId="77777777" w:rsidTr="00257546">
        <w:tc>
          <w:tcPr>
            <w:tcW w:w="0" w:type="auto"/>
            <w:gridSpan w:val="2"/>
            <w:tcBorders>
              <w:left w:val="single" w:sz="4" w:space="0" w:color="000000"/>
              <w:right w:val="single" w:sz="4" w:space="0" w:color="000000"/>
            </w:tcBorders>
            <w:shd w:val="clear" w:color="auto" w:fill="DDD9C3"/>
            <w:tcMar>
              <w:top w:w="0" w:type="dxa"/>
              <w:left w:w="115" w:type="dxa"/>
              <w:bottom w:w="0" w:type="dxa"/>
              <w:right w:w="115" w:type="dxa"/>
            </w:tcMar>
            <w:hideMark/>
          </w:tcPr>
          <w:p w14:paraId="7A06662F" w14:textId="77777777" w:rsidR="00257546" w:rsidRPr="00257546" w:rsidRDefault="00257546" w:rsidP="00257546">
            <w:r w:rsidRPr="00257546">
              <w:rPr>
                <w:i/>
                <w:iCs/>
              </w:rPr>
              <w:t>Taking into consideration the general competences that the degree-holder must acquire (as these appear in the Diploma Supplement and appear below), at which of the following does the course aim?</w:t>
            </w:r>
          </w:p>
        </w:tc>
      </w:tr>
      <w:tr w:rsidR="00257546" w:rsidRPr="00257546" w14:paraId="2C11F856" w14:textId="77777777" w:rsidTr="00257546">
        <w:tc>
          <w:tcPr>
            <w:tcW w:w="0" w:type="auto"/>
            <w:tcBorders>
              <w:left w:val="single" w:sz="4" w:space="0" w:color="000000"/>
              <w:bottom w:val="single" w:sz="4" w:space="0" w:color="000000"/>
            </w:tcBorders>
            <w:shd w:val="clear" w:color="auto" w:fill="DDD9C3"/>
            <w:tcMar>
              <w:top w:w="0" w:type="dxa"/>
              <w:left w:w="115" w:type="dxa"/>
              <w:bottom w:w="0" w:type="dxa"/>
              <w:right w:w="115" w:type="dxa"/>
            </w:tcMar>
            <w:hideMark/>
          </w:tcPr>
          <w:p w14:paraId="0B6CE087" w14:textId="77777777" w:rsidR="00257546" w:rsidRPr="00257546" w:rsidRDefault="00257546" w:rsidP="00257546">
            <w:r w:rsidRPr="00257546">
              <w:rPr>
                <w:i/>
                <w:iCs/>
              </w:rPr>
              <w:t>Search for, analysis and synthesis of data and information, with the use of the necessary technology </w:t>
            </w:r>
          </w:p>
          <w:p w14:paraId="6AEE5F13" w14:textId="77777777" w:rsidR="00257546" w:rsidRPr="00257546" w:rsidRDefault="00257546" w:rsidP="00257546">
            <w:r w:rsidRPr="00257546">
              <w:rPr>
                <w:i/>
                <w:iCs/>
              </w:rPr>
              <w:t>Adapting to new situations </w:t>
            </w:r>
          </w:p>
          <w:p w14:paraId="55C25968" w14:textId="77777777" w:rsidR="00257546" w:rsidRPr="00257546" w:rsidRDefault="00257546" w:rsidP="00257546">
            <w:r w:rsidRPr="00257546">
              <w:rPr>
                <w:i/>
                <w:iCs/>
              </w:rPr>
              <w:t>Decision-making </w:t>
            </w:r>
          </w:p>
          <w:p w14:paraId="1BECCE37" w14:textId="77777777" w:rsidR="00257546" w:rsidRPr="00257546" w:rsidRDefault="00257546" w:rsidP="00257546">
            <w:r w:rsidRPr="00257546">
              <w:rPr>
                <w:i/>
                <w:iCs/>
              </w:rPr>
              <w:t>Working independently </w:t>
            </w:r>
          </w:p>
          <w:p w14:paraId="66AFC8E1" w14:textId="77777777" w:rsidR="00257546" w:rsidRPr="00257546" w:rsidRDefault="00257546" w:rsidP="00257546">
            <w:proofErr w:type="gramStart"/>
            <w:r w:rsidRPr="00257546">
              <w:rPr>
                <w:i/>
                <w:iCs/>
              </w:rPr>
              <w:t>Team work</w:t>
            </w:r>
            <w:proofErr w:type="gramEnd"/>
          </w:p>
          <w:p w14:paraId="00BA42B9" w14:textId="77777777" w:rsidR="00257546" w:rsidRPr="00257546" w:rsidRDefault="00257546" w:rsidP="00257546">
            <w:r w:rsidRPr="00257546">
              <w:rPr>
                <w:i/>
                <w:iCs/>
              </w:rPr>
              <w:t>Working in an international environment </w:t>
            </w:r>
          </w:p>
          <w:p w14:paraId="049E64AA" w14:textId="77777777" w:rsidR="00257546" w:rsidRPr="00257546" w:rsidRDefault="00257546" w:rsidP="00257546">
            <w:r w:rsidRPr="00257546">
              <w:rPr>
                <w:i/>
                <w:iCs/>
              </w:rPr>
              <w:t>Working in an interdisciplinary environment </w:t>
            </w:r>
          </w:p>
          <w:p w14:paraId="4B887CBD" w14:textId="77777777" w:rsidR="00257546" w:rsidRPr="00257546" w:rsidRDefault="00257546" w:rsidP="00257546">
            <w:r w:rsidRPr="00257546">
              <w:rPr>
                <w:i/>
                <w:iCs/>
              </w:rPr>
              <w:lastRenderedPageBreak/>
              <w:t>Production of new research ideas </w:t>
            </w:r>
          </w:p>
        </w:tc>
        <w:tc>
          <w:tcPr>
            <w:tcW w:w="0" w:type="auto"/>
            <w:tcBorders>
              <w:bottom w:val="single" w:sz="4" w:space="0" w:color="000000"/>
              <w:right w:val="single" w:sz="4" w:space="0" w:color="000000"/>
            </w:tcBorders>
            <w:shd w:val="clear" w:color="auto" w:fill="DDD9C3"/>
            <w:tcMar>
              <w:top w:w="0" w:type="dxa"/>
              <w:left w:w="115" w:type="dxa"/>
              <w:bottom w:w="0" w:type="dxa"/>
              <w:right w:w="115" w:type="dxa"/>
            </w:tcMar>
            <w:hideMark/>
          </w:tcPr>
          <w:p w14:paraId="4E263FB9" w14:textId="77777777" w:rsidR="00257546" w:rsidRPr="00257546" w:rsidRDefault="00257546" w:rsidP="00257546">
            <w:r w:rsidRPr="00257546">
              <w:rPr>
                <w:i/>
                <w:iCs/>
              </w:rPr>
              <w:lastRenderedPageBreak/>
              <w:t>Project planning and management </w:t>
            </w:r>
          </w:p>
          <w:p w14:paraId="2C678DBA" w14:textId="77777777" w:rsidR="00257546" w:rsidRPr="00257546" w:rsidRDefault="00257546" w:rsidP="00257546">
            <w:r w:rsidRPr="00257546">
              <w:rPr>
                <w:i/>
                <w:iCs/>
              </w:rPr>
              <w:t>Respect for difference and multiculturalism </w:t>
            </w:r>
          </w:p>
          <w:p w14:paraId="1BB4D32B" w14:textId="77777777" w:rsidR="00257546" w:rsidRPr="00257546" w:rsidRDefault="00257546" w:rsidP="00257546">
            <w:r w:rsidRPr="00257546">
              <w:rPr>
                <w:i/>
                <w:iCs/>
              </w:rPr>
              <w:t>Respect for the natural environment </w:t>
            </w:r>
          </w:p>
          <w:p w14:paraId="0315CDC0" w14:textId="77777777" w:rsidR="00257546" w:rsidRPr="00257546" w:rsidRDefault="00257546" w:rsidP="00257546">
            <w:r w:rsidRPr="00257546">
              <w:rPr>
                <w:i/>
                <w:iCs/>
              </w:rPr>
              <w:t>Showing social, professional and ethical responsibility and sensitivity to gender issues </w:t>
            </w:r>
          </w:p>
          <w:p w14:paraId="7682E9E8" w14:textId="77777777" w:rsidR="00257546" w:rsidRPr="00257546" w:rsidRDefault="00257546" w:rsidP="00257546">
            <w:r w:rsidRPr="00257546">
              <w:rPr>
                <w:i/>
                <w:iCs/>
              </w:rPr>
              <w:t>Criticism and self-criticism </w:t>
            </w:r>
          </w:p>
          <w:p w14:paraId="17545B1A" w14:textId="77777777" w:rsidR="00257546" w:rsidRPr="00257546" w:rsidRDefault="00257546" w:rsidP="00257546">
            <w:r w:rsidRPr="00257546">
              <w:rPr>
                <w:i/>
                <w:iCs/>
              </w:rPr>
              <w:lastRenderedPageBreak/>
              <w:t>Production of free, creative and inductive thinking</w:t>
            </w:r>
          </w:p>
          <w:p w14:paraId="1A37BB8E" w14:textId="77777777" w:rsidR="00257546" w:rsidRPr="00257546" w:rsidRDefault="00257546" w:rsidP="00257546">
            <w:r w:rsidRPr="00257546">
              <w:rPr>
                <w:i/>
                <w:iCs/>
              </w:rPr>
              <w:t>……</w:t>
            </w:r>
          </w:p>
          <w:p w14:paraId="6722F885" w14:textId="77777777" w:rsidR="00257546" w:rsidRPr="00257546" w:rsidRDefault="00257546" w:rsidP="00257546">
            <w:r w:rsidRPr="00257546">
              <w:rPr>
                <w:i/>
                <w:iCs/>
              </w:rPr>
              <w:t>Others…</w:t>
            </w:r>
          </w:p>
          <w:p w14:paraId="43A50086" w14:textId="77777777" w:rsidR="00257546" w:rsidRPr="00257546" w:rsidRDefault="00257546" w:rsidP="00257546">
            <w:r w:rsidRPr="00257546">
              <w:rPr>
                <w:i/>
                <w:iCs/>
              </w:rPr>
              <w:t>…….</w:t>
            </w:r>
          </w:p>
        </w:tc>
      </w:tr>
      <w:tr w:rsidR="00257546" w:rsidRPr="00257546" w14:paraId="44D9AEE1" w14:textId="77777777" w:rsidTr="00257546">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70C50C" w14:textId="77777777" w:rsidR="00257546" w:rsidRPr="008C196E" w:rsidRDefault="00257546" w:rsidP="00257546">
            <w:r w:rsidRPr="008C196E">
              <w:lastRenderedPageBreak/>
              <w:t>Working in an interdisciplinary environment </w:t>
            </w:r>
          </w:p>
          <w:p w14:paraId="294433FA" w14:textId="77777777" w:rsidR="00257546" w:rsidRPr="008C196E" w:rsidRDefault="00257546" w:rsidP="00257546">
            <w:r w:rsidRPr="008C196E">
              <w:t>Criticism and self-criticism </w:t>
            </w:r>
          </w:p>
          <w:p w14:paraId="388AD6C3" w14:textId="77777777" w:rsidR="00257546" w:rsidRPr="008C196E" w:rsidRDefault="00257546" w:rsidP="00257546">
            <w:r w:rsidRPr="008C196E">
              <w:t>Other: Patient care, Medical Knowledge, Professionalism, Interpersonal and Communication Skills, Exposure to System Based Practice</w:t>
            </w:r>
          </w:p>
          <w:p w14:paraId="415DC19E" w14:textId="3A975B1F" w:rsidR="00257546" w:rsidRPr="00257546" w:rsidRDefault="00257546" w:rsidP="00257546">
            <w:r w:rsidRPr="00257546">
              <w:br/>
            </w:r>
            <w:r w:rsidRPr="00257546">
              <w:br/>
            </w:r>
            <w:r w:rsidRPr="00257546">
              <w:br/>
            </w:r>
          </w:p>
        </w:tc>
      </w:tr>
    </w:tbl>
    <w:p w14:paraId="6E16B777" w14:textId="77777777" w:rsidR="00257546" w:rsidRPr="00257546" w:rsidRDefault="00257546" w:rsidP="00257546"/>
    <w:p w14:paraId="2C59D7FB" w14:textId="77777777" w:rsidR="008C196E" w:rsidRDefault="008C196E" w:rsidP="008C196E">
      <w:pPr>
        <w:rPr>
          <w:b/>
          <w:bCs/>
        </w:rPr>
      </w:pPr>
    </w:p>
    <w:p w14:paraId="7889463D" w14:textId="5B8F87CE" w:rsidR="00257546" w:rsidRPr="00257546" w:rsidRDefault="00257546" w:rsidP="00257546">
      <w:pPr>
        <w:numPr>
          <w:ilvl w:val="0"/>
          <w:numId w:val="5"/>
        </w:numPr>
        <w:rPr>
          <w:b/>
          <w:bCs/>
        </w:rPr>
      </w:pPr>
      <w:r w:rsidRPr="00257546">
        <w:rPr>
          <w:b/>
          <w:bCs/>
        </w:rPr>
        <w:t>SYLLABUS</w:t>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257546" w:rsidRPr="00257546" w14:paraId="549E6CC5" w14:textId="77777777" w:rsidTr="00257546">
        <w:trPr>
          <w:trHeight w:val="4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895A9" w14:textId="77777777" w:rsidR="00257546" w:rsidRPr="00257546" w:rsidRDefault="00257546" w:rsidP="00257546"/>
          <w:p w14:paraId="727245D7" w14:textId="065E780A" w:rsidR="00257546" w:rsidRPr="008C196E" w:rsidRDefault="00257546" w:rsidP="008C196E">
            <w:pPr>
              <w:jc w:val="both"/>
            </w:pPr>
            <w:r w:rsidRPr="008C196E">
              <w:t xml:space="preserve">Ear </w:t>
            </w:r>
            <w:r w:rsidR="008C196E">
              <w:t>(</w:t>
            </w:r>
            <w:r w:rsidRPr="008C196E">
              <w:t>4 lectures</w:t>
            </w:r>
            <w:r w:rsidR="008C196E">
              <w:t>)</w:t>
            </w:r>
          </w:p>
          <w:p w14:paraId="24EE33F5" w14:textId="77777777" w:rsidR="00257546" w:rsidRPr="008C196E" w:rsidRDefault="00257546" w:rsidP="008C196E">
            <w:pPr>
              <w:numPr>
                <w:ilvl w:val="0"/>
                <w:numId w:val="6"/>
              </w:numPr>
              <w:jc w:val="both"/>
            </w:pPr>
            <w:r w:rsidRPr="008C196E">
              <w:t>Anatomy-</w:t>
            </w:r>
            <w:proofErr w:type="spellStart"/>
            <w:r w:rsidRPr="008C196E">
              <w:t>Physiolgy</w:t>
            </w:r>
            <w:proofErr w:type="spellEnd"/>
            <w:r w:rsidRPr="008C196E">
              <w:t>:( eternal, middle ear, labyrinth, travelling wave, tonotopy)</w:t>
            </w:r>
          </w:p>
          <w:p w14:paraId="614BF261" w14:textId="77777777" w:rsidR="00257546" w:rsidRPr="008C196E" w:rsidRDefault="00257546" w:rsidP="008C196E">
            <w:pPr>
              <w:numPr>
                <w:ilvl w:val="0"/>
                <w:numId w:val="7"/>
              </w:numPr>
              <w:jc w:val="both"/>
            </w:pPr>
            <w:r w:rsidRPr="008C196E">
              <w:t xml:space="preserve">Clinical testing and audiology: Tuning Fork, audiogram, tympanogram, </w:t>
            </w:r>
            <w:proofErr w:type="gramStart"/>
            <w:r w:rsidRPr="008C196E">
              <w:t>OAE,ABR</w:t>
            </w:r>
            <w:proofErr w:type="gramEnd"/>
            <w:r w:rsidRPr="008C196E">
              <w:t>, screening-children</w:t>
            </w:r>
          </w:p>
          <w:p w14:paraId="399E4BCE" w14:textId="77777777" w:rsidR="00257546" w:rsidRPr="008C196E" w:rsidRDefault="00257546" w:rsidP="008C196E">
            <w:pPr>
              <w:numPr>
                <w:ilvl w:val="0"/>
                <w:numId w:val="8"/>
              </w:numPr>
              <w:jc w:val="both"/>
            </w:pPr>
            <w:r w:rsidRPr="008C196E">
              <w:t xml:space="preserve">External Ear: Auricular disease, Cerumen, external otitis, necrotic </w:t>
            </w:r>
            <w:proofErr w:type="spellStart"/>
            <w:proofErr w:type="gramStart"/>
            <w:r w:rsidRPr="008C196E">
              <w:t>otitis.Otic</w:t>
            </w:r>
            <w:proofErr w:type="spellEnd"/>
            <w:proofErr w:type="gramEnd"/>
            <w:r w:rsidRPr="008C196E">
              <w:t xml:space="preserve"> </w:t>
            </w:r>
            <w:proofErr w:type="spellStart"/>
            <w:r w:rsidRPr="008C196E">
              <w:t>Herpez</w:t>
            </w:r>
            <w:proofErr w:type="spellEnd"/>
            <w:r w:rsidRPr="008C196E">
              <w:t xml:space="preserve"> Zoster, foreign bodies</w:t>
            </w:r>
          </w:p>
          <w:p w14:paraId="08CEEC24" w14:textId="77777777" w:rsidR="00257546" w:rsidRPr="008C196E" w:rsidRDefault="00257546" w:rsidP="008C196E">
            <w:pPr>
              <w:numPr>
                <w:ilvl w:val="0"/>
                <w:numId w:val="9"/>
              </w:numPr>
              <w:jc w:val="both"/>
            </w:pPr>
            <w:r w:rsidRPr="008C196E">
              <w:t>Middle ear: tympanic membrane perforation, barotrauma, eustachian tube dysfunction, chronic serous otitis media, tympanic membrane retraction pocket, acute otitis media and complications, mastoiditis, cholesteatoma, tympanoplasty, otosclerosis, temporal bone fractures, middle ear surgery</w:t>
            </w:r>
          </w:p>
          <w:p w14:paraId="0545CD71" w14:textId="77777777" w:rsidR="00257546" w:rsidRPr="008C196E" w:rsidRDefault="00257546" w:rsidP="008C196E">
            <w:pPr>
              <w:numPr>
                <w:ilvl w:val="0"/>
                <w:numId w:val="10"/>
              </w:numPr>
              <w:jc w:val="both"/>
            </w:pPr>
            <w:r w:rsidRPr="008C196E">
              <w:t>Inner ear: Etiology of sensorineural hearing loss, acute hearing loss, acoustic trauma, acoustic neuroma, hearing implants, cochlear implants</w:t>
            </w:r>
          </w:p>
          <w:p w14:paraId="61E7098B" w14:textId="77777777" w:rsidR="00257546" w:rsidRPr="008C196E" w:rsidRDefault="00257546" w:rsidP="008C196E">
            <w:pPr>
              <w:numPr>
                <w:ilvl w:val="0"/>
                <w:numId w:val="11"/>
              </w:numPr>
              <w:jc w:val="both"/>
            </w:pPr>
            <w:r w:rsidRPr="008C196E">
              <w:t>Vertigo: VOR, BPPV, acute neuritis, vestibular migraine, Meniere’s disease</w:t>
            </w:r>
          </w:p>
          <w:p w14:paraId="7765FAC0" w14:textId="77777777" w:rsidR="00257546" w:rsidRPr="008C196E" w:rsidRDefault="00257546" w:rsidP="008C196E">
            <w:pPr>
              <w:jc w:val="both"/>
            </w:pPr>
          </w:p>
          <w:p w14:paraId="1E518F1D" w14:textId="4C5AAAEC" w:rsidR="00257546" w:rsidRPr="008C196E" w:rsidRDefault="00257546" w:rsidP="008C196E">
            <w:pPr>
              <w:jc w:val="both"/>
            </w:pPr>
            <w:r w:rsidRPr="008C196E">
              <w:t>Nose, Paranasal, Trauma (3 lectures)</w:t>
            </w:r>
          </w:p>
          <w:p w14:paraId="39EC0CA6" w14:textId="09630114" w:rsidR="00257546" w:rsidRPr="008C196E" w:rsidRDefault="00257546" w:rsidP="008C196E">
            <w:pPr>
              <w:jc w:val="both"/>
            </w:pPr>
            <w:r w:rsidRPr="008C196E">
              <w:t>a.</w:t>
            </w:r>
            <w:r w:rsidR="008C196E">
              <w:t xml:space="preserve"> </w:t>
            </w:r>
            <w:r w:rsidRPr="008C196E">
              <w:t xml:space="preserve">Anatomy, Physiology, </w:t>
            </w:r>
            <w:proofErr w:type="spellStart"/>
            <w:proofErr w:type="gramStart"/>
            <w:r w:rsidRPr="008C196E">
              <w:t>Diagnosis:Olfaction</w:t>
            </w:r>
            <w:proofErr w:type="spellEnd"/>
            <w:proofErr w:type="gramEnd"/>
          </w:p>
          <w:p w14:paraId="2FAE103A" w14:textId="362D1CEE" w:rsidR="00257546" w:rsidRPr="008C196E" w:rsidRDefault="00257546" w:rsidP="008C196E">
            <w:pPr>
              <w:jc w:val="both"/>
            </w:pPr>
            <w:r w:rsidRPr="008C196E">
              <w:t>b.</w:t>
            </w:r>
            <w:r w:rsidR="008C196E">
              <w:t xml:space="preserve"> </w:t>
            </w:r>
            <w:r w:rsidRPr="008C196E">
              <w:t xml:space="preserve">External </w:t>
            </w:r>
            <w:proofErr w:type="spellStart"/>
            <w:proofErr w:type="gramStart"/>
            <w:r w:rsidRPr="008C196E">
              <w:t>nose:Congenital</w:t>
            </w:r>
            <w:proofErr w:type="spellEnd"/>
            <w:proofErr w:type="gramEnd"/>
            <w:r w:rsidRPr="008C196E">
              <w:t xml:space="preserve"> anomalies, trauma, </w:t>
            </w:r>
            <w:proofErr w:type="spellStart"/>
            <w:r w:rsidRPr="008C196E">
              <w:t>neoplasias</w:t>
            </w:r>
            <w:proofErr w:type="spellEnd"/>
            <w:r w:rsidRPr="008C196E">
              <w:t>, infections, rhinophyma</w:t>
            </w:r>
          </w:p>
          <w:p w14:paraId="43B14555" w14:textId="7BBBA6EE" w:rsidR="00257546" w:rsidRPr="008C196E" w:rsidRDefault="00257546" w:rsidP="008C196E">
            <w:pPr>
              <w:jc w:val="both"/>
            </w:pPr>
            <w:r w:rsidRPr="008C196E">
              <w:t>c.</w:t>
            </w:r>
            <w:r w:rsidR="008C196E">
              <w:t xml:space="preserve"> </w:t>
            </w:r>
            <w:r w:rsidRPr="008C196E">
              <w:t xml:space="preserve">Internal </w:t>
            </w:r>
            <w:proofErr w:type="spellStart"/>
            <w:proofErr w:type="gramStart"/>
            <w:r w:rsidRPr="008C196E">
              <w:t>nose:Nasal</w:t>
            </w:r>
            <w:proofErr w:type="spellEnd"/>
            <w:proofErr w:type="gramEnd"/>
            <w:r w:rsidRPr="008C196E">
              <w:t xml:space="preserve"> Airway Obstruction, Septal deviation, rhinorrhagia, nasal hematoma/abscess, rhinitis</w:t>
            </w:r>
          </w:p>
          <w:p w14:paraId="02BD9391" w14:textId="68FFFBCF" w:rsidR="00257546" w:rsidRPr="008C196E" w:rsidRDefault="00257546" w:rsidP="008C196E">
            <w:pPr>
              <w:jc w:val="both"/>
            </w:pPr>
            <w:r w:rsidRPr="008C196E">
              <w:t>d.</w:t>
            </w:r>
            <w:r w:rsidR="008C196E">
              <w:t xml:space="preserve"> </w:t>
            </w:r>
            <w:r w:rsidRPr="008C196E">
              <w:t>Paranasal Sinuses: acute and chronic rhinosinusitis, nasal polyposis, CSF rhinorrhea, rhinosinusitis complications, mucocele, paranasal tumors</w:t>
            </w:r>
          </w:p>
          <w:p w14:paraId="3DD2D24E" w14:textId="3F6C1E13" w:rsidR="00257546" w:rsidRPr="008C196E" w:rsidRDefault="00257546" w:rsidP="008C196E">
            <w:pPr>
              <w:jc w:val="both"/>
            </w:pPr>
            <w:r w:rsidRPr="008C196E">
              <w:t>e.</w:t>
            </w:r>
            <w:r w:rsidR="008C196E">
              <w:t xml:space="preserve"> </w:t>
            </w:r>
            <w:r w:rsidRPr="008C196E">
              <w:t>Epistaxis</w:t>
            </w:r>
          </w:p>
          <w:p w14:paraId="5BDACFC1" w14:textId="31CA8BA1" w:rsidR="00257546" w:rsidRPr="008C196E" w:rsidRDefault="00257546" w:rsidP="008C196E">
            <w:pPr>
              <w:jc w:val="both"/>
            </w:pPr>
            <w:r w:rsidRPr="008C196E">
              <w:t>f.</w:t>
            </w:r>
            <w:r w:rsidR="008C196E">
              <w:t xml:space="preserve"> </w:t>
            </w:r>
            <w:r w:rsidRPr="008C196E">
              <w:t>Endoscopic Sinus Surgery, Advanced endoscopic approaches to anterior skull base and paranasal sinuses</w:t>
            </w:r>
          </w:p>
          <w:p w14:paraId="746112A6" w14:textId="425B7954" w:rsidR="00257546" w:rsidRPr="008C196E" w:rsidRDefault="00257546" w:rsidP="008C196E">
            <w:pPr>
              <w:jc w:val="both"/>
            </w:pPr>
            <w:r w:rsidRPr="008C196E">
              <w:t>g.</w:t>
            </w:r>
            <w:r w:rsidR="008C196E">
              <w:t xml:space="preserve"> </w:t>
            </w:r>
            <w:r w:rsidRPr="008C196E">
              <w:t>Trauma: Blow-out fractures, facial fractures</w:t>
            </w:r>
          </w:p>
          <w:p w14:paraId="4B156DF4" w14:textId="77777777" w:rsidR="00257546" w:rsidRPr="008C196E" w:rsidRDefault="00257546" w:rsidP="008C196E">
            <w:pPr>
              <w:jc w:val="both"/>
            </w:pPr>
          </w:p>
          <w:p w14:paraId="10280907" w14:textId="4E6E72B1" w:rsidR="00257546" w:rsidRPr="008C196E" w:rsidRDefault="00257546" w:rsidP="008C196E">
            <w:pPr>
              <w:jc w:val="both"/>
            </w:pPr>
            <w:r w:rsidRPr="008C196E">
              <w:t>Oral Cavity (2 lectures)</w:t>
            </w:r>
          </w:p>
          <w:p w14:paraId="6AEF0DC8" w14:textId="77777777" w:rsidR="00257546" w:rsidRPr="008C196E" w:rsidRDefault="00257546" w:rsidP="00257546"/>
          <w:p w14:paraId="110153DD" w14:textId="77777777" w:rsidR="008C196E" w:rsidRDefault="00257546" w:rsidP="008C196E">
            <w:pPr>
              <w:pStyle w:val="a6"/>
              <w:numPr>
                <w:ilvl w:val="0"/>
                <w:numId w:val="14"/>
              </w:numPr>
              <w:ind w:left="164" w:hanging="142"/>
            </w:pPr>
            <w:r w:rsidRPr="008C196E">
              <w:lastRenderedPageBreak/>
              <w:t>Anatomy, Physiology, Diagnosis: taste</w:t>
            </w:r>
          </w:p>
          <w:p w14:paraId="001D9416" w14:textId="2BCDCB69" w:rsidR="00257546" w:rsidRPr="008C196E" w:rsidRDefault="00257546" w:rsidP="008C196E">
            <w:pPr>
              <w:pStyle w:val="a6"/>
              <w:numPr>
                <w:ilvl w:val="0"/>
                <w:numId w:val="14"/>
              </w:numPr>
              <w:ind w:left="164" w:hanging="142"/>
            </w:pPr>
            <w:r w:rsidRPr="008C196E">
              <w:t xml:space="preserve">Infections: Acute tonsillitis, Acute tonsillitis complications </w:t>
            </w:r>
            <w:proofErr w:type="gramStart"/>
            <w:r w:rsidRPr="008C196E">
              <w:t>( septic</w:t>
            </w:r>
            <w:proofErr w:type="gramEnd"/>
            <w:r w:rsidRPr="008C196E">
              <w:t>), peritonsillar abscess, Epstein Barr Mononucleosis, Pharyngitis</w:t>
            </w:r>
          </w:p>
          <w:p w14:paraId="09C6C45F" w14:textId="314E72F2" w:rsidR="00257546" w:rsidRPr="008C196E" w:rsidRDefault="00257546" w:rsidP="008C196E">
            <w:pPr>
              <w:pStyle w:val="a6"/>
              <w:numPr>
                <w:ilvl w:val="0"/>
                <w:numId w:val="14"/>
              </w:numPr>
              <w:ind w:left="164" w:hanging="142"/>
            </w:pPr>
            <w:proofErr w:type="spellStart"/>
            <w:proofErr w:type="gramStart"/>
            <w:r w:rsidRPr="008C196E">
              <w:t>Oncology:Etiology</w:t>
            </w:r>
            <w:proofErr w:type="spellEnd"/>
            <w:proofErr w:type="gramEnd"/>
            <w:r w:rsidRPr="008C196E">
              <w:t>, clinical findings, diagnosis, therapeutic options</w:t>
            </w:r>
          </w:p>
          <w:p w14:paraId="296822B8" w14:textId="5FD411A1" w:rsidR="00257546" w:rsidRPr="008C196E" w:rsidRDefault="00257546" w:rsidP="008C196E">
            <w:pPr>
              <w:pStyle w:val="a6"/>
              <w:numPr>
                <w:ilvl w:val="0"/>
                <w:numId w:val="14"/>
              </w:numPr>
              <w:ind w:left="164" w:hanging="142"/>
            </w:pPr>
            <w:r w:rsidRPr="008C196E">
              <w:t>Non</w:t>
            </w:r>
            <w:r w:rsidR="008C196E">
              <w:t>-</w:t>
            </w:r>
            <w:r w:rsidRPr="008C196E">
              <w:t>infectious diseases: choanal atresia, taste disorders, Zenker’s diverticulum, sleep disorders, esophageal foreign bodies</w:t>
            </w:r>
          </w:p>
          <w:p w14:paraId="1B08A329" w14:textId="77777777" w:rsidR="00257546" w:rsidRPr="008C196E" w:rsidRDefault="00257546" w:rsidP="00257546"/>
          <w:p w14:paraId="35681A93" w14:textId="0201AAA8" w:rsidR="00257546" w:rsidRPr="008C196E" w:rsidRDefault="00257546" w:rsidP="00257546">
            <w:r w:rsidRPr="008C196E">
              <w:t>Larynx (2 lectures)</w:t>
            </w:r>
          </w:p>
          <w:p w14:paraId="75D03DD9" w14:textId="14FCAEF3" w:rsidR="00257546" w:rsidRPr="008C196E" w:rsidRDefault="00257546" w:rsidP="00257546">
            <w:r w:rsidRPr="008C196E">
              <w:t>a.</w:t>
            </w:r>
            <w:r w:rsidR="008C196E">
              <w:t xml:space="preserve"> </w:t>
            </w:r>
            <w:r w:rsidRPr="008C196E">
              <w:t>Anatomy, Physiology, Diagnosis</w:t>
            </w:r>
          </w:p>
          <w:p w14:paraId="50E19814" w14:textId="3CD0516F" w:rsidR="00257546" w:rsidRPr="008C196E" w:rsidRDefault="00257546" w:rsidP="00257546">
            <w:r w:rsidRPr="008C196E">
              <w:t>b.</w:t>
            </w:r>
            <w:r w:rsidR="008C196E">
              <w:t xml:space="preserve"> </w:t>
            </w:r>
            <w:r w:rsidRPr="008C196E">
              <w:t>Benign disease: trauma, tracheal stenosis, infections: acute laryngitis, epiglottis, epiglottic abscess, recurrent laryngeal nerve paralysis</w:t>
            </w:r>
          </w:p>
          <w:p w14:paraId="799426FB" w14:textId="1ED0DFCD" w:rsidR="00257546" w:rsidRPr="008C196E" w:rsidRDefault="00257546" w:rsidP="00257546">
            <w:r w:rsidRPr="008C196E">
              <w:t>c.</w:t>
            </w:r>
            <w:r w:rsidR="008C196E">
              <w:t xml:space="preserve"> </w:t>
            </w:r>
            <w:r w:rsidRPr="008C196E">
              <w:t xml:space="preserve">Malignant diseases/Oncology: etiology, diagnosis, therapeutic options, laryngectomy, </w:t>
            </w:r>
            <w:proofErr w:type="spellStart"/>
            <w:r w:rsidRPr="008C196E">
              <w:t>Provox</w:t>
            </w:r>
            <w:proofErr w:type="spellEnd"/>
          </w:p>
          <w:p w14:paraId="43A864B8" w14:textId="4E267218" w:rsidR="00257546" w:rsidRPr="008C196E" w:rsidRDefault="00257546" w:rsidP="00257546">
            <w:r w:rsidRPr="008C196E">
              <w:t>d.</w:t>
            </w:r>
            <w:r w:rsidR="008C196E">
              <w:t xml:space="preserve"> </w:t>
            </w:r>
            <w:r w:rsidRPr="008C196E">
              <w:t>Airway Securement: Intubation, Cricothyrotomy, Tracheotomy, Tracheotomy management</w:t>
            </w:r>
          </w:p>
          <w:p w14:paraId="2E2CB24C" w14:textId="77777777" w:rsidR="00257546" w:rsidRPr="008C196E" w:rsidRDefault="00257546" w:rsidP="00257546"/>
          <w:p w14:paraId="03C0E415" w14:textId="7054CA84" w:rsidR="00257546" w:rsidRPr="008C196E" w:rsidRDefault="00257546" w:rsidP="00257546">
            <w:r w:rsidRPr="008C196E">
              <w:t>Neck (2 lectures)</w:t>
            </w:r>
          </w:p>
          <w:p w14:paraId="19FA9E46" w14:textId="7B408A93" w:rsidR="00257546" w:rsidRPr="008C196E" w:rsidRDefault="00257546" w:rsidP="00257546">
            <w:r w:rsidRPr="008C196E">
              <w:t>a.</w:t>
            </w:r>
            <w:r w:rsidR="008C196E">
              <w:t xml:space="preserve"> </w:t>
            </w:r>
            <w:r w:rsidRPr="008C196E">
              <w:t>Anatomy, Embryology, Diagnosis</w:t>
            </w:r>
          </w:p>
          <w:p w14:paraId="3E969016" w14:textId="76113358" w:rsidR="00257546" w:rsidRPr="008C196E" w:rsidRDefault="00257546" w:rsidP="00257546">
            <w:r w:rsidRPr="008C196E">
              <w:t>b.</w:t>
            </w:r>
            <w:r w:rsidR="008C196E">
              <w:t xml:space="preserve"> </w:t>
            </w:r>
            <w:r w:rsidRPr="008C196E">
              <w:t>Benign neck disease: neck cysts, Eagle syndrome, neck lymphadenopathy, neck abscess</w:t>
            </w:r>
          </w:p>
          <w:p w14:paraId="31227FB9" w14:textId="0CEBA03F" w:rsidR="00257546" w:rsidRPr="008C196E" w:rsidRDefault="00257546" w:rsidP="00257546">
            <w:r w:rsidRPr="008C196E">
              <w:t>c.</w:t>
            </w:r>
            <w:r w:rsidR="008C196E">
              <w:t xml:space="preserve"> </w:t>
            </w:r>
            <w:r w:rsidRPr="008C196E">
              <w:t>Malignant neck disease: neck metastases, neck dissection, CUP-Syndrome, paraganglioma, neck lipomatosis</w:t>
            </w:r>
          </w:p>
          <w:p w14:paraId="138AACFC" w14:textId="77777777" w:rsidR="00257546" w:rsidRPr="008C196E" w:rsidRDefault="00257546" w:rsidP="00257546"/>
          <w:p w14:paraId="4A1AEBAE" w14:textId="5C4FD97C" w:rsidR="00257546" w:rsidRPr="008C196E" w:rsidRDefault="00257546" w:rsidP="00257546">
            <w:r w:rsidRPr="008C196E">
              <w:t>Salivary glands, facial nerve, thyroid (2 lectures)</w:t>
            </w:r>
          </w:p>
          <w:p w14:paraId="05D04B88" w14:textId="466F4C4E" w:rsidR="00257546" w:rsidRPr="008C196E" w:rsidRDefault="00257546" w:rsidP="00257546">
            <w:r w:rsidRPr="008C196E">
              <w:t>a.</w:t>
            </w:r>
            <w:r w:rsidR="008C196E">
              <w:t xml:space="preserve"> </w:t>
            </w:r>
            <w:r w:rsidRPr="008C196E">
              <w:t>Anatomy, Physiology, Diagnosis</w:t>
            </w:r>
          </w:p>
          <w:p w14:paraId="22EE414D" w14:textId="36CF27C0" w:rsidR="00257546" w:rsidRPr="008C196E" w:rsidRDefault="00257546" w:rsidP="00257546">
            <w:r w:rsidRPr="008C196E">
              <w:t>b.</w:t>
            </w:r>
            <w:r w:rsidR="008C196E">
              <w:t xml:space="preserve"> </w:t>
            </w:r>
            <w:r w:rsidRPr="008C196E">
              <w:t xml:space="preserve">Benign diseases: sialadenitis, sialolithiasis, </w:t>
            </w:r>
            <w:proofErr w:type="spellStart"/>
            <w:r w:rsidRPr="008C196E">
              <w:t>sialadenosis</w:t>
            </w:r>
            <w:proofErr w:type="spellEnd"/>
            <w:r w:rsidRPr="008C196E">
              <w:t>, xerostomia, Sjogren syndrome, ranula</w:t>
            </w:r>
          </w:p>
          <w:p w14:paraId="294BF6D9" w14:textId="1665B6BD" w:rsidR="00257546" w:rsidRPr="008C196E" w:rsidRDefault="00257546" w:rsidP="00257546">
            <w:r w:rsidRPr="008C196E">
              <w:t>c.</w:t>
            </w:r>
            <w:r w:rsidR="008C196E">
              <w:t xml:space="preserve"> </w:t>
            </w:r>
            <w:r w:rsidRPr="008C196E">
              <w:t>Tumors: benign, malignant, Frey’s syndrome</w:t>
            </w:r>
          </w:p>
          <w:p w14:paraId="6249AE6F" w14:textId="77777777" w:rsidR="00257546" w:rsidRPr="008C196E" w:rsidRDefault="00257546" w:rsidP="00257546">
            <w:r w:rsidRPr="008C196E">
              <w:t>d. Facial nerve: anatomy, paralysis, zoster</w:t>
            </w:r>
          </w:p>
          <w:p w14:paraId="3FB5BCBA" w14:textId="57203F2F" w:rsidR="00257546" w:rsidRPr="008C196E" w:rsidRDefault="00257546" w:rsidP="00257546">
            <w:r w:rsidRPr="008C196E">
              <w:t>e.</w:t>
            </w:r>
            <w:r w:rsidR="008C196E">
              <w:t xml:space="preserve"> </w:t>
            </w:r>
            <w:r w:rsidRPr="008C196E">
              <w:t>Thyroid gland: Malignant tumors, surgical technique</w:t>
            </w:r>
          </w:p>
          <w:p w14:paraId="3A1614B2" w14:textId="77777777" w:rsidR="00257546" w:rsidRPr="008C196E" w:rsidRDefault="00257546" w:rsidP="00257546"/>
          <w:p w14:paraId="7C24C46E" w14:textId="618D7BA9" w:rsidR="00257546" w:rsidRPr="008C196E" w:rsidRDefault="00257546" w:rsidP="00257546">
            <w:r w:rsidRPr="008C196E">
              <w:t>Emergencies:</w:t>
            </w:r>
          </w:p>
          <w:p w14:paraId="2990B303" w14:textId="1F2715E3" w:rsidR="00257546" w:rsidRPr="008C196E" w:rsidRDefault="00257546" w:rsidP="00257546">
            <w:r w:rsidRPr="008C196E">
              <w:t>a.</w:t>
            </w:r>
            <w:r w:rsidR="008C196E">
              <w:t xml:space="preserve"> </w:t>
            </w:r>
            <w:proofErr w:type="gramStart"/>
            <w:r w:rsidRPr="008C196E">
              <w:t>Foreign</w:t>
            </w:r>
            <w:proofErr w:type="gramEnd"/>
            <w:r w:rsidRPr="008C196E">
              <w:t xml:space="preserve"> bodies</w:t>
            </w:r>
          </w:p>
          <w:p w14:paraId="2F304817" w14:textId="0BCDEEAB" w:rsidR="00257546" w:rsidRPr="008C196E" w:rsidRDefault="00257546" w:rsidP="00257546"/>
          <w:p w14:paraId="6A4A7790" w14:textId="77777777" w:rsidR="00257546" w:rsidRPr="008C196E" w:rsidRDefault="00257546" w:rsidP="00257546">
            <w:r w:rsidRPr="008C196E">
              <w:t>Special Lectures</w:t>
            </w:r>
          </w:p>
          <w:p w14:paraId="45D9CE04" w14:textId="77777777" w:rsidR="00257546" w:rsidRPr="008C196E" w:rsidRDefault="00257546" w:rsidP="00257546"/>
          <w:p w14:paraId="4FC14F36" w14:textId="77777777" w:rsidR="00257546" w:rsidRPr="008C196E" w:rsidRDefault="00257546" w:rsidP="00257546">
            <w:r w:rsidRPr="008C196E">
              <w:t>Clinical examination Video</w:t>
            </w:r>
          </w:p>
          <w:p w14:paraId="4608A9B3" w14:textId="77777777" w:rsidR="00257546" w:rsidRPr="008C196E" w:rsidRDefault="00257546" w:rsidP="00257546">
            <w:r w:rsidRPr="008C196E">
              <w:t>Surgical Oncology of the head &amp; neck</w:t>
            </w:r>
          </w:p>
          <w:p w14:paraId="5563251F" w14:textId="77777777" w:rsidR="00257546" w:rsidRPr="008C196E" w:rsidRDefault="00257546" w:rsidP="00257546">
            <w:r w:rsidRPr="008C196E">
              <w:t>Ultrasonography of the head &amp; neck</w:t>
            </w:r>
          </w:p>
          <w:p w14:paraId="57940215" w14:textId="77777777" w:rsidR="00257546" w:rsidRPr="008C196E" w:rsidRDefault="00257546" w:rsidP="00257546">
            <w:r w:rsidRPr="008C196E">
              <w:t>Rhinoplasty and Nasal valve</w:t>
            </w:r>
          </w:p>
          <w:p w14:paraId="6420C814" w14:textId="77777777" w:rsidR="00257546" w:rsidRPr="008C196E" w:rsidRDefault="00257546" w:rsidP="00257546">
            <w:r w:rsidRPr="008C196E">
              <w:t>HPV and the Head &amp; Neck</w:t>
            </w:r>
          </w:p>
          <w:p w14:paraId="58A8890C" w14:textId="1C45BB15" w:rsidR="00257546" w:rsidRPr="00257546" w:rsidRDefault="00257546" w:rsidP="00257546">
            <w:r w:rsidRPr="00257546">
              <w:br/>
            </w:r>
            <w:r w:rsidRPr="00257546">
              <w:br/>
            </w:r>
          </w:p>
        </w:tc>
      </w:tr>
    </w:tbl>
    <w:p w14:paraId="5CBFB27B" w14:textId="30B45D33" w:rsidR="00257546" w:rsidRPr="00257546" w:rsidRDefault="00257546" w:rsidP="00257546"/>
    <w:p w14:paraId="412F0E9F" w14:textId="77777777" w:rsidR="00257546" w:rsidRPr="00257546" w:rsidRDefault="00257546" w:rsidP="00257546">
      <w:pPr>
        <w:numPr>
          <w:ilvl w:val="0"/>
          <w:numId w:val="12"/>
        </w:numPr>
        <w:rPr>
          <w:b/>
          <w:bCs/>
        </w:rPr>
      </w:pPr>
      <w:r w:rsidRPr="00257546">
        <w:rPr>
          <w:b/>
          <w:bCs/>
        </w:rPr>
        <w:lastRenderedPageBreak/>
        <w:t>TEACHING and LEARNING METHODS - EVALUATION</w:t>
      </w:r>
    </w:p>
    <w:tbl>
      <w:tblPr>
        <w:tblW w:w="0" w:type="auto"/>
        <w:tblCellMar>
          <w:top w:w="15" w:type="dxa"/>
          <w:left w:w="15" w:type="dxa"/>
          <w:bottom w:w="15" w:type="dxa"/>
          <w:right w:w="15" w:type="dxa"/>
        </w:tblCellMar>
        <w:tblLook w:val="04A0" w:firstRow="1" w:lastRow="0" w:firstColumn="1" w:lastColumn="0" w:noHBand="0" w:noVBand="1"/>
      </w:tblPr>
      <w:tblGrid>
        <w:gridCol w:w="4768"/>
        <w:gridCol w:w="4582"/>
      </w:tblGrid>
      <w:tr w:rsidR="00257546" w:rsidRPr="00257546" w14:paraId="1497B379" w14:textId="77777777" w:rsidTr="00257546">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hideMark/>
          </w:tcPr>
          <w:p w14:paraId="4550BFDB" w14:textId="77777777" w:rsidR="00257546" w:rsidRPr="00257546" w:rsidRDefault="00257546" w:rsidP="00257546">
            <w:r w:rsidRPr="00257546">
              <w:rPr>
                <w:b/>
                <w:bCs/>
              </w:rPr>
              <w:t>DELIVERY</w:t>
            </w:r>
            <w:r w:rsidRPr="00257546">
              <w:rPr>
                <w:b/>
                <w:bCs/>
              </w:rPr>
              <w:br/>
            </w:r>
            <w:r w:rsidRPr="00257546">
              <w:rPr>
                <w:i/>
                <w:iCs/>
              </w:rPr>
              <w:t>Face-to-face, Distance learning,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D0315" w14:textId="77777777" w:rsidR="00257546" w:rsidRPr="008C196E" w:rsidRDefault="00257546" w:rsidP="00257546">
            <w:r w:rsidRPr="008C196E">
              <w:t> </w:t>
            </w:r>
          </w:p>
          <w:p w14:paraId="4ACC2441" w14:textId="77777777" w:rsidR="00257546" w:rsidRPr="008C196E" w:rsidRDefault="00257546" w:rsidP="00257546">
            <w:r w:rsidRPr="008C196E">
              <w:t>Face to face &amp; Online</w:t>
            </w:r>
          </w:p>
        </w:tc>
      </w:tr>
      <w:tr w:rsidR="00257546" w:rsidRPr="00257546" w14:paraId="0F44D663" w14:textId="77777777" w:rsidTr="00257546">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hideMark/>
          </w:tcPr>
          <w:p w14:paraId="1ACCE4FA" w14:textId="77777777" w:rsidR="00257546" w:rsidRPr="00257546" w:rsidRDefault="00257546" w:rsidP="00257546">
            <w:r w:rsidRPr="00257546">
              <w:rPr>
                <w:b/>
                <w:bCs/>
              </w:rPr>
              <w:t xml:space="preserve">USE OF INFORMATION AND COMMUNICATIONS TECHNOLOGY </w:t>
            </w:r>
            <w:r w:rsidRPr="00257546">
              <w:rPr>
                <w:b/>
                <w:bCs/>
              </w:rPr>
              <w:br/>
            </w:r>
            <w:r w:rsidRPr="00257546">
              <w:rPr>
                <w:i/>
                <w:iCs/>
              </w:rPr>
              <w:t>Use of ICT in teaching, laboratory education, communication with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91141" w14:textId="77777777" w:rsidR="00257546" w:rsidRPr="008C196E" w:rsidRDefault="00257546" w:rsidP="00257546"/>
          <w:p w14:paraId="5C97BA8F" w14:textId="77777777" w:rsidR="00257546" w:rsidRPr="008C196E" w:rsidRDefault="00257546" w:rsidP="00257546">
            <w:r w:rsidRPr="008C196E">
              <w:t>Use of Microsoft Teams for Lectures</w:t>
            </w:r>
          </w:p>
          <w:p w14:paraId="43DCF8E2" w14:textId="77777777" w:rsidR="00257546" w:rsidRPr="008C196E" w:rsidRDefault="00257546" w:rsidP="00257546"/>
        </w:tc>
      </w:tr>
      <w:tr w:rsidR="00257546" w:rsidRPr="00257546" w14:paraId="4513B1B7" w14:textId="77777777" w:rsidTr="00257546">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hideMark/>
          </w:tcPr>
          <w:p w14:paraId="5EE15719" w14:textId="77777777" w:rsidR="00257546" w:rsidRPr="00257546" w:rsidRDefault="00257546" w:rsidP="00257546">
            <w:r w:rsidRPr="00257546">
              <w:rPr>
                <w:b/>
                <w:bCs/>
              </w:rPr>
              <w:t>TEACHING METHODS</w:t>
            </w:r>
          </w:p>
          <w:p w14:paraId="05D750B3" w14:textId="77777777" w:rsidR="00257546" w:rsidRPr="00257546" w:rsidRDefault="00257546" w:rsidP="00257546">
            <w:r w:rsidRPr="00257546">
              <w:rPr>
                <w:i/>
                <w:iCs/>
              </w:rPr>
              <w:t>The manner and methods of teaching are described in detail.</w:t>
            </w:r>
          </w:p>
          <w:p w14:paraId="303F84BF" w14:textId="77777777" w:rsidR="00257546" w:rsidRPr="00257546" w:rsidRDefault="00257546" w:rsidP="00257546">
            <w:r w:rsidRPr="00257546">
              <w:rPr>
                <w:i/>
                <w:iCs/>
              </w:rPr>
              <w:t>Lectures, seminars, laboratory practice, fieldwork, study and analysis of bibliography, tutorials, placements, clinical practice, art workshop, interactive teaching, educational visits, project, essay writing, artistic creativity, etc.</w:t>
            </w:r>
          </w:p>
          <w:p w14:paraId="0FD46330" w14:textId="77777777" w:rsidR="00257546" w:rsidRPr="00257546" w:rsidRDefault="00257546" w:rsidP="00257546"/>
          <w:p w14:paraId="61EDED12" w14:textId="77777777" w:rsidR="00257546" w:rsidRPr="00257546" w:rsidRDefault="00257546" w:rsidP="00257546">
            <w:r w:rsidRPr="00257546">
              <w:rPr>
                <w:i/>
                <w:iCs/>
              </w:rPr>
              <w:t>The student's study hours for each learning activity are given as well as the hours of non-directed study according to the principles of the 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CB40F" w14:textId="77777777" w:rsidR="00257546" w:rsidRPr="00257546" w:rsidRDefault="00257546" w:rsidP="00257546"/>
          <w:tbl>
            <w:tblPr>
              <w:tblW w:w="0" w:type="auto"/>
              <w:tblCellMar>
                <w:top w:w="15" w:type="dxa"/>
                <w:left w:w="15" w:type="dxa"/>
                <w:bottom w:w="15" w:type="dxa"/>
                <w:right w:w="15" w:type="dxa"/>
              </w:tblCellMar>
              <w:tblLook w:val="04A0" w:firstRow="1" w:lastRow="0" w:firstColumn="1" w:lastColumn="0" w:noHBand="0" w:noVBand="1"/>
            </w:tblPr>
            <w:tblGrid>
              <w:gridCol w:w="1757"/>
              <w:gridCol w:w="2585"/>
            </w:tblGrid>
            <w:tr w:rsidR="00257546" w:rsidRPr="00257546" w14:paraId="172665FB" w14:textId="77777777">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1F84B291" w14:textId="77777777" w:rsidR="00257546" w:rsidRPr="00257546" w:rsidRDefault="00257546" w:rsidP="00257546">
                  <w:r w:rsidRPr="00257546">
                    <w:rPr>
                      <w:b/>
                      <w:bCs/>
                      <w:i/>
                      <w:iCs/>
                    </w:rPr>
                    <w:t>Activity</w:t>
                  </w:r>
                </w:p>
              </w:tc>
              <w:tc>
                <w:tcPr>
                  <w:tcW w:w="0" w:type="auto"/>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40C315C1" w14:textId="77777777" w:rsidR="00257546" w:rsidRPr="00257546" w:rsidRDefault="00257546" w:rsidP="00257546">
                  <w:r w:rsidRPr="00257546">
                    <w:rPr>
                      <w:b/>
                      <w:bCs/>
                      <w:i/>
                      <w:iCs/>
                    </w:rPr>
                    <w:t>Workload of each students group </w:t>
                  </w:r>
                </w:p>
              </w:tc>
            </w:tr>
            <w:tr w:rsidR="00257546" w:rsidRPr="00257546" w14:paraId="6A97CBBA"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311FF" w14:textId="77777777" w:rsidR="00257546" w:rsidRPr="008C196E" w:rsidRDefault="00257546" w:rsidP="00257546">
                  <w:r w:rsidRPr="008C196E">
                    <w:t>Lectures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625DF" w14:textId="77777777" w:rsidR="00257546" w:rsidRPr="008C196E" w:rsidRDefault="00257546" w:rsidP="00257546">
                  <w:r w:rsidRPr="008C196E">
                    <w:t>2 hours daily X 4 weeks</w:t>
                  </w:r>
                </w:p>
              </w:tc>
            </w:tr>
            <w:tr w:rsidR="00257546" w:rsidRPr="00257546" w14:paraId="4EEF9411"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F981A" w14:textId="77777777" w:rsidR="00257546" w:rsidRPr="008C196E" w:rsidRDefault="00257546" w:rsidP="00257546">
                  <w:r w:rsidRPr="008C196E">
                    <w:t>Courses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B0F1D" w14:textId="77777777" w:rsidR="00257546" w:rsidRPr="008C196E" w:rsidRDefault="00257546" w:rsidP="00257546">
                  <w:r w:rsidRPr="008C196E">
                    <w:t>Encourage participation</w:t>
                  </w:r>
                </w:p>
              </w:tc>
            </w:tr>
            <w:tr w:rsidR="00257546" w:rsidRPr="00257546" w14:paraId="6E5217A2"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10236C" w14:textId="77777777" w:rsidR="00257546" w:rsidRPr="008C196E" w:rsidRDefault="00257546" w:rsidP="00257546">
                  <w:r w:rsidRPr="008C196E">
                    <w:t>Interactive teaching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BB881" w14:textId="77777777" w:rsidR="00257546" w:rsidRPr="008C196E" w:rsidRDefault="00257546" w:rsidP="00257546">
                  <w:r w:rsidRPr="008C196E">
                    <w:t>Encourage during lectures</w:t>
                  </w:r>
                </w:p>
              </w:tc>
            </w:tr>
            <w:tr w:rsidR="00257546" w:rsidRPr="00257546" w14:paraId="610814B3"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19BE9" w14:textId="77777777" w:rsidR="00257546" w:rsidRPr="008C196E" w:rsidRDefault="00257546" w:rsidP="00257546">
                  <w:r w:rsidRPr="008C196E">
                    <w:t>Morning Rounds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A70F70" w14:textId="77777777" w:rsidR="00257546" w:rsidRPr="008C196E" w:rsidRDefault="00257546" w:rsidP="00257546">
                  <w:r w:rsidRPr="008C196E">
                    <w:t xml:space="preserve">2 hours </w:t>
                  </w:r>
                  <w:proofErr w:type="spellStart"/>
                  <w:r w:rsidRPr="008C196E">
                    <w:t>apxtly</w:t>
                  </w:r>
                  <w:proofErr w:type="spellEnd"/>
                  <w:r w:rsidRPr="008C196E">
                    <w:t>/day</w:t>
                  </w:r>
                </w:p>
              </w:tc>
            </w:tr>
            <w:tr w:rsidR="00257546" w:rsidRPr="00257546" w14:paraId="7A24AD01"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F0F24" w14:textId="77777777" w:rsidR="00257546" w:rsidRPr="008C196E" w:rsidRDefault="00257546" w:rsidP="00257546">
                  <w:r w:rsidRPr="008C196E">
                    <w:t>Outpatient Clinics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49212" w14:textId="77777777" w:rsidR="00257546" w:rsidRPr="008C196E" w:rsidRDefault="00257546" w:rsidP="00257546">
                  <w:r w:rsidRPr="008C196E">
                    <w:t xml:space="preserve">15hours </w:t>
                  </w:r>
                  <w:proofErr w:type="spellStart"/>
                  <w:r w:rsidRPr="008C196E">
                    <w:t>apxtly</w:t>
                  </w:r>
                  <w:proofErr w:type="spellEnd"/>
                  <w:r w:rsidRPr="008C196E">
                    <w:t>/week</w:t>
                  </w:r>
                </w:p>
              </w:tc>
            </w:tr>
            <w:tr w:rsidR="00257546" w:rsidRPr="00257546" w14:paraId="1EA2DA92"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0DF1ED" w14:textId="77777777" w:rsidR="00257546" w:rsidRPr="008C196E" w:rsidRDefault="00257546" w:rsidP="00257546">
                  <w:r w:rsidRPr="008C196E">
                    <w: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706F5" w14:textId="77777777" w:rsidR="00257546" w:rsidRPr="008C196E" w:rsidRDefault="00257546" w:rsidP="00257546">
                  <w:r w:rsidRPr="008C196E">
                    <w:t xml:space="preserve">15 hours </w:t>
                  </w:r>
                  <w:proofErr w:type="spellStart"/>
                  <w:r w:rsidRPr="008C196E">
                    <w:t>apxtly</w:t>
                  </w:r>
                  <w:proofErr w:type="spellEnd"/>
                  <w:r w:rsidRPr="008C196E">
                    <w:t>/week</w:t>
                  </w:r>
                </w:p>
              </w:tc>
            </w:tr>
            <w:tr w:rsidR="00257546" w:rsidRPr="00257546" w14:paraId="330E0ABC"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7C65D" w14:textId="77777777" w:rsidR="00257546" w:rsidRPr="008C196E" w:rsidRDefault="00257546" w:rsidP="00257546">
                  <w:r w:rsidRPr="008C196E">
                    <w: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71C7E3" w14:textId="77777777" w:rsidR="00257546" w:rsidRPr="008C196E" w:rsidRDefault="00257546" w:rsidP="00257546">
                  <w:r w:rsidRPr="008C196E">
                    <w:t xml:space="preserve">15 hours </w:t>
                  </w:r>
                  <w:proofErr w:type="spellStart"/>
                  <w:r w:rsidRPr="008C196E">
                    <w:t>apxtly</w:t>
                  </w:r>
                  <w:proofErr w:type="spellEnd"/>
                  <w:r w:rsidRPr="008C196E">
                    <w:t>/week</w:t>
                  </w:r>
                </w:p>
              </w:tc>
            </w:tr>
            <w:tr w:rsidR="00257546" w:rsidRPr="00257546" w14:paraId="57632765"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E9BC6" w14:textId="77777777" w:rsidR="00257546" w:rsidRPr="00257546" w:rsidRDefault="00257546" w:rsidP="00257546"/>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ACDB9" w14:textId="77777777" w:rsidR="00257546" w:rsidRPr="00257546" w:rsidRDefault="00257546" w:rsidP="00257546"/>
              </w:tc>
            </w:tr>
            <w:tr w:rsidR="00257546" w:rsidRPr="00257546" w14:paraId="1E3831D9"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B2AD5" w14:textId="77777777" w:rsidR="00257546" w:rsidRPr="00257546" w:rsidRDefault="00257546" w:rsidP="00257546"/>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D6D864" w14:textId="77777777" w:rsidR="00257546" w:rsidRPr="00257546" w:rsidRDefault="00257546" w:rsidP="00257546"/>
              </w:tc>
            </w:tr>
            <w:tr w:rsidR="00257546" w:rsidRPr="00257546" w14:paraId="7D1AEDDE"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D0A2D" w14:textId="77777777" w:rsidR="00257546" w:rsidRPr="00257546" w:rsidRDefault="00257546" w:rsidP="00257546"/>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DC50F6" w14:textId="77777777" w:rsidR="00257546" w:rsidRPr="00257546" w:rsidRDefault="00257546" w:rsidP="00257546"/>
              </w:tc>
            </w:tr>
            <w:tr w:rsidR="00257546" w:rsidRPr="00257546" w14:paraId="741E7A05"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244B46" w14:textId="77777777" w:rsidR="00257546" w:rsidRPr="00257546" w:rsidRDefault="00257546" w:rsidP="00257546"/>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86604" w14:textId="77777777" w:rsidR="00257546" w:rsidRPr="00257546" w:rsidRDefault="00257546" w:rsidP="00257546"/>
              </w:tc>
            </w:tr>
            <w:tr w:rsidR="00257546" w:rsidRPr="00257546" w14:paraId="44B1D644"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C1876" w14:textId="77777777" w:rsidR="00257546" w:rsidRPr="00257546" w:rsidRDefault="00257546" w:rsidP="00257546"/>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35071" w14:textId="77777777" w:rsidR="00257546" w:rsidRPr="00257546" w:rsidRDefault="00257546" w:rsidP="00257546"/>
              </w:tc>
            </w:tr>
          </w:tbl>
          <w:p w14:paraId="7575D906" w14:textId="77777777" w:rsidR="00257546" w:rsidRPr="00257546" w:rsidRDefault="00257546" w:rsidP="00257546"/>
        </w:tc>
      </w:tr>
      <w:tr w:rsidR="00257546" w:rsidRPr="00257546" w14:paraId="5E6A69E9" w14:textId="77777777" w:rsidTr="0025754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5A11C" w14:textId="77777777" w:rsidR="00257546" w:rsidRPr="00257546" w:rsidRDefault="00257546" w:rsidP="00257546">
            <w:r w:rsidRPr="00257546">
              <w:rPr>
                <w:b/>
                <w:bCs/>
              </w:rPr>
              <w:t>STUDENT PERFORMANCE EVALUATION</w:t>
            </w:r>
          </w:p>
          <w:p w14:paraId="4A526AAA" w14:textId="77777777" w:rsidR="00257546" w:rsidRPr="00257546" w:rsidRDefault="00257546" w:rsidP="00257546">
            <w:r w:rsidRPr="00257546">
              <w:rPr>
                <w:i/>
                <w:iCs/>
              </w:rPr>
              <w:t>Description of the evaluation procedure</w:t>
            </w:r>
          </w:p>
          <w:p w14:paraId="56D2DE23" w14:textId="77777777" w:rsidR="00257546" w:rsidRPr="00257546" w:rsidRDefault="00257546" w:rsidP="00257546"/>
          <w:p w14:paraId="72A0D182" w14:textId="77777777" w:rsidR="00257546" w:rsidRPr="00257546" w:rsidRDefault="00257546" w:rsidP="00257546">
            <w:r w:rsidRPr="00257546">
              <w:rPr>
                <w:i/>
                <w:iCs/>
              </w:rPr>
              <w:t xml:space="preserve">Language of evaluation, methods of evaluation, summative or conclusive, </w:t>
            </w:r>
            <w:proofErr w:type="gramStart"/>
            <w:r w:rsidRPr="00257546">
              <w:rPr>
                <w:i/>
                <w:iCs/>
              </w:rPr>
              <w:t>multiple choice</w:t>
            </w:r>
            <w:proofErr w:type="gramEnd"/>
            <w:r w:rsidRPr="00257546">
              <w:rPr>
                <w:i/>
                <w:iCs/>
              </w:rPr>
              <w:t xml:space="preserve"> questionnaires, short-answer questions, open-ended questions, problem solving, written work, essay/report, oral examination, public presentation, laboratory work, clinical examination of patient, art interpretation, other</w:t>
            </w:r>
          </w:p>
          <w:p w14:paraId="1E925E8A" w14:textId="77777777" w:rsidR="00257546" w:rsidRPr="00257546" w:rsidRDefault="00257546" w:rsidP="00257546"/>
          <w:p w14:paraId="7041A6C7" w14:textId="77777777" w:rsidR="00257546" w:rsidRPr="00257546" w:rsidRDefault="00257546" w:rsidP="00257546">
            <w:proofErr w:type="gramStart"/>
            <w:r w:rsidRPr="00257546">
              <w:rPr>
                <w:i/>
                <w:iCs/>
              </w:rPr>
              <w:t>Specifically-defined</w:t>
            </w:r>
            <w:proofErr w:type="gramEnd"/>
            <w:r w:rsidRPr="00257546">
              <w:rPr>
                <w:i/>
                <w:iCs/>
              </w:rPr>
              <w:t xml:space="preserve"> evaluation criteria are given, and if and where they are accessible to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8078C" w14:textId="77777777" w:rsidR="00257546" w:rsidRPr="00257546" w:rsidRDefault="00257546" w:rsidP="00257546"/>
          <w:p w14:paraId="46364506" w14:textId="3A26C7E1" w:rsidR="00257546" w:rsidRPr="008C196E" w:rsidRDefault="00257546" w:rsidP="00257546">
            <w:r w:rsidRPr="008C196E">
              <w:t>Written examination in Greek language upon completion of the 5 weeks rotation. The test includes multiple choice questions and open-ended questions extending in the entire spectrum of the specialty</w:t>
            </w:r>
          </w:p>
          <w:p w14:paraId="2B02D5BE" w14:textId="77777777" w:rsidR="00257546" w:rsidRPr="008C196E" w:rsidRDefault="00257546" w:rsidP="00257546">
            <w:r w:rsidRPr="008C196E">
              <w:br/>
            </w:r>
          </w:p>
          <w:p w14:paraId="26CE9658" w14:textId="77777777" w:rsidR="00257546" w:rsidRPr="00257546" w:rsidRDefault="00257546" w:rsidP="00257546">
            <w:r w:rsidRPr="008C196E">
              <w:t>N/A</w:t>
            </w:r>
          </w:p>
        </w:tc>
      </w:tr>
    </w:tbl>
    <w:p w14:paraId="3983C360" w14:textId="77777777" w:rsidR="008C196E" w:rsidRDefault="008C196E" w:rsidP="008C196E">
      <w:pPr>
        <w:rPr>
          <w:b/>
          <w:bCs/>
        </w:rPr>
      </w:pPr>
    </w:p>
    <w:p w14:paraId="2CA9BEF1" w14:textId="77777777" w:rsidR="008C196E" w:rsidRPr="008C196E" w:rsidRDefault="008C196E" w:rsidP="008C196E">
      <w:pPr>
        <w:rPr>
          <w:b/>
          <w:bCs/>
        </w:rPr>
      </w:pPr>
    </w:p>
    <w:p w14:paraId="336DF579" w14:textId="6DA04BAB" w:rsidR="00257546" w:rsidRPr="00257546" w:rsidRDefault="00257546" w:rsidP="00257546">
      <w:pPr>
        <w:numPr>
          <w:ilvl w:val="0"/>
          <w:numId w:val="13"/>
        </w:numPr>
        <w:rPr>
          <w:b/>
          <w:bCs/>
        </w:rPr>
      </w:pPr>
      <w:r w:rsidRPr="00257546">
        <w:rPr>
          <w:b/>
          <w:bCs/>
        </w:rPr>
        <w:t>ATTACHED BIBLIOGRAPHY</w:t>
      </w:r>
      <w:r w:rsidRPr="00257546">
        <w:rPr>
          <w:i/>
          <w:iCs/>
        </w:rPr>
        <w:t> </w:t>
      </w:r>
    </w:p>
    <w:p w14:paraId="1281BBB7" w14:textId="06F99ACD" w:rsidR="0047640A" w:rsidRDefault="00257546">
      <w:r w:rsidRPr="00257546">
        <w:rPr>
          <w:b/>
          <w:bCs/>
        </w:rPr>
        <w:t xml:space="preserve">Included </w:t>
      </w:r>
      <w:proofErr w:type="gramStart"/>
      <w:r w:rsidRPr="00257546">
        <w:rPr>
          <w:b/>
          <w:bCs/>
        </w:rPr>
        <w:t>in</w:t>
      </w:r>
      <w:proofErr w:type="gramEnd"/>
      <w:r w:rsidRPr="00257546">
        <w:rPr>
          <w:b/>
          <w:bCs/>
        </w:rPr>
        <w:t xml:space="preserve"> the website</w:t>
      </w:r>
    </w:p>
    <w:sectPr w:rsidR="0047640A" w:rsidSect="0025754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1774"/>
    <w:multiLevelType w:val="multilevel"/>
    <w:tmpl w:val="F274FB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26008"/>
    <w:multiLevelType w:val="multilevel"/>
    <w:tmpl w:val="D82232DE"/>
    <w:lvl w:ilvl="0">
      <w:start w:val="3"/>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8458D5"/>
    <w:multiLevelType w:val="multilevel"/>
    <w:tmpl w:val="653A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B40E6"/>
    <w:multiLevelType w:val="hybridMultilevel"/>
    <w:tmpl w:val="0A74401E"/>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C7B7CB6"/>
    <w:multiLevelType w:val="multilevel"/>
    <w:tmpl w:val="6354E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5B01E3"/>
    <w:multiLevelType w:val="multilevel"/>
    <w:tmpl w:val="239C9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5723E6"/>
    <w:multiLevelType w:val="multilevel"/>
    <w:tmpl w:val="D6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462D9B"/>
    <w:multiLevelType w:val="multilevel"/>
    <w:tmpl w:val="9D6C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FE24D6"/>
    <w:multiLevelType w:val="multilevel"/>
    <w:tmpl w:val="D0CE0C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0594607">
    <w:abstractNumId w:val="4"/>
  </w:num>
  <w:num w:numId="2" w16cid:durableId="398871716">
    <w:abstractNumId w:val="5"/>
    <w:lvlOverride w:ilvl="0">
      <w:lvl w:ilvl="0">
        <w:numFmt w:val="decimal"/>
        <w:lvlText w:val="%1."/>
        <w:lvlJc w:val="left"/>
      </w:lvl>
    </w:lvlOverride>
  </w:num>
  <w:num w:numId="3" w16cid:durableId="1872264231">
    <w:abstractNumId w:val="6"/>
  </w:num>
  <w:num w:numId="4" w16cid:durableId="2037388980">
    <w:abstractNumId w:val="2"/>
  </w:num>
  <w:num w:numId="5" w16cid:durableId="1299534954">
    <w:abstractNumId w:val="1"/>
    <w:lvlOverride w:ilvl="0">
      <w:lvl w:ilvl="0">
        <w:numFmt w:val="decimal"/>
        <w:lvlText w:val="%1."/>
        <w:lvlJc w:val="left"/>
      </w:lvl>
    </w:lvlOverride>
  </w:num>
  <w:num w:numId="6" w16cid:durableId="762607479">
    <w:abstractNumId w:val="7"/>
    <w:lvlOverride w:ilvl="0">
      <w:lvl w:ilvl="0">
        <w:numFmt w:val="lowerLetter"/>
        <w:lvlText w:val="%1."/>
        <w:lvlJc w:val="left"/>
      </w:lvl>
    </w:lvlOverride>
  </w:num>
  <w:num w:numId="7" w16cid:durableId="787507132">
    <w:abstractNumId w:val="7"/>
    <w:lvlOverride w:ilvl="0">
      <w:lvl w:ilvl="0">
        <w:numFmt w:val="lowerLetter"/>
        <w:lvlText w:val="%1."/>
        <w:lvlJc w:val="left"/>
      </w:lvl>
    </w:lvlOverride>
  </w:num>
  <w:num w:numId="8" w16cid:durableId="1028410944">
    <w:abstractNumId w:val="7"/>
    <w:lvlOverride w:ilvl="0">
      <w:lvl w:ilvl="0">
        <w:numFmt w:val="lowerLetter"/>
        <w:lvlText w:val="%1."/>
        <w:lvlJc w:val="left"/>
      </w:lvl>
    </w:lvlOverride>
  </w:num>
  <w:num w:numId="9" w16cid:durableId="1515850071">
    <w:abstractNumId w:val="7"/>
    <w:lvlOverride w:ilvl="0">
      <w:lvl w:ilvl="0">
        <w:numFmt w:val="lowerLetter"/>
        <w:lvlText w:val="%1."/>
        <w:lvlJc w:val="left"/>
      </w:lvl>
    </w:lvlOverride>
  </w:num>
  <w:num w:numId="10" w16cid:durableId="1521041150">
    <w:abstractNumId w:val="7"/>
    <w:lvlOverride w:ilvl="0">
      <w:lvl w:ilvl="0">
        <w:numFmt w:val="lowerLetter"/>
        <w:lvlText w:val="%1."/>
        <w:lvlJc w:val="left"/>
      </w:lvl>
    </w:lvlOverride>
  </w:num>
  <w:num w:numId="11" w16cid:durableId="886065298">
    <w:abstractNumId w:val="7"/>
    <w:lvlOverride w:ilvl="0">
      <w:lvl w:ilvl="0">
        <w:numFmt w:val="lowerLetter"/>
        <w:lvlText w:val="%1."/>
        <w:lvlJc w:val="left"/>
      </w:lvl>
    </w:lvlOverride>
  </w:num>
  <w:num w:numId="12" w16cid:durableId="501164121">
    <w:abstractNumId w:val="8"/>
    <w:lvlOverride w:ilvl="0">
      <w:lvl w:ilvl="0">
        <w:numFmt w:val="decimal"/>
        <w:lvlText w:val="%1."/>
        <w:lvlJc w:val="left"/>
      </w:lvl>
    </w:lvlOverride>
  </w:num>
  <w:num w:numId="13" w16cid:durableId="663556867">
    <w:abstractNumId w:val="0"/>
    <w:lvlOverride w:ilvl="0">
      <w:lvl w:ilvl="0">
        <w:numFmt w:val="decimal"/>
        <w:lvlText w:val="%1."/>
        <w:lvlJc w:val="left"/>
      </w:lvl>
    </w:lvlOverride>
  </w:num>
  <w:num w:numId="14" w16cid:durableId="820656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46"/>
    <w:rsid w:val="00096F45"/>
    <w:rsid w:val="00257546"/>
    <w:rsid w:val="0047640A"/>
    <w:rsid w:val="00670580"/>
    <w:rsid w:val="006E2B52"/>
    <w:rsid w:val="00833C83"/>
    <w:rsid w:val="008C196E"/>
    <w:rsid w:val="0099151A"/>
    <w:rsid w:val="00A16720"/>
    <w:rsid w:val="00B44BB4"/>
    <w:rsid w:val="00DD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6D6D"/>
  <w15:chartTrackingRefBased/>
  <w15:docId w15:val="{06C3760C-30D8-E147-A848-80DAF7D0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57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57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5754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5754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5754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5754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57546"/>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57546"/>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5754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47640A"/>
    <w:pPr>
      <w:pBdr>
        <w:top w:val="single" w:sz="4" w:space="1" w:color="C1E4F5" w:themeColor="accent1" w:themeTint="33"/>
        <w:left w:val="single" w:sz="4" w:space="4" w:color="C1E4F5" w:themeColor="accent1" w:themeTint="33"/>
        <w:bottom w:val="single" w:sz="4" w:space="1" w:color="C1E4F5" w:themeColor="accent1" w:themeTint="33"/>
        <w:right w:val="single" w:sz="4" w:space="4" w:color="C1E4F5" w:themeColor="accent1" w:themeTint="33"/>
      </w:pBdr>
      <w:spacing w:after="120"/>
    </w:pPr>
    <w:rPr>
      <w:rFonts w:eastAsiaTheme="minorEastAsia" w:cstheme="minorHAnsi"/>
      <w:iCs/>
      <w:color w:val="000000" w:themeColor="text1"/>
      <w:kern w:val="0"/>
      <w:sz w:val="22"/>
      <w:szCs w:val="22"/>
      <w:lang w:val="en-GB"/>
      <w14:ligatures w14:val="none"/>
    </w:rPr>
  </w:style>
  <w:style w:type="character" w:customStyle="1" w:styleId="1Char">
    <w:name w:val="Επικεφαλίδα 1 Char"/>
    <w:basedOn w:val="a0"/>
    <w:link w:val="1"/>
    <w:uiPriority w:val="9"/>
    <w:rsid w:val="0025754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5754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5754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5754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5754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5754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5754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5754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57546"/>
    <w:rPr>
      <w:rFonts w:eastAsiaTheme="majorEastAsia" w:cstheme="majorBidi"/>
      <w:color w:val="272727" w:themeColor="text1" w:themeTint="D8"/>
    </w:rPr>
  </w:style>
  <w:style w:type="paragraph" w:styleId="a3">
    <w:name w:val="Title"/>
    <w:basedOn w:val="a"/>
    <w:next w:val="a"/>
    <w:link w:val="Char"/>
    <w:uiPriority w:val="10"/>
    <w:qFormat/>
    <w:rsid w:val="00257546"/>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5754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57546"/>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5754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57546"/>
    <w:pPr>
      <w:spacing w:before="160" w:after="160"/>
      <w:jc w:val="center"/>
    </w:pPr>
    <w:rPr>
      <w:i/>
      <w:iCs/>
      <w:color w:val="404040" w:themeColor="text1" w:themeTint="BF"/>
    </w:rPr>
  </w:style>
  <w:style w:type="character" w:customStyle="1" w:styleId="Char1">
    <w:name w:val="Απόσπασμα Char"/>
    <w:basedOn w:val="a0"/>
    <w:link w:val="a5"/>
    <w:uiPriority w:val="29"/>
    <w:rsid w:val="00257546"/>
    <w:rPr>
      <w:i/>
      <w:iCs/>
      <w:color w:val="404040" w:themeColor="text1" w:themeTint="BF"/>
    </w:rPr>
  </w:style>
  <w:style w:type="paragraph" w:styleId="a6">
    <w:name w:val="List Paragraph"/>
    <w:basedOn w:val="a"/>
    <w:uiPriority w:val="34"/>
    <w:qFormat/>
    <w:rsid w:val="00257546"/>
    <w:pPr>
      <w:ind w:left="720"/>
      <w:contextualSpacing/>
    </w:pPr>
  </w:style>
  <w:style w:type="character" w:styleId="a7">
    <w:name w:val="Intense Emphasis"/>
    <w:basedOn w:val="a0"/>
    <w:uiPriority w:val="21"/>
    <w:qFormat/>
    <w:rsid w:val="00257546"/>
    <w:rPr>
      <w:i/>
      <w:iCs/>
      <w:color w:val="0F4761" w:themeColor="accent1" w:themeShade="BF"/>
    </w:rPr>
  </w:style>
  <w:style w:type="paragraph" w:styleId="a8">
    <w:name w:val="Intense Quote"/>
    <w:basedOn w:val="a"/>
    <w:next w:val="a"/>
    <w:link w:val="Char2"/>
    <w:uiPriority w:val="30"/>
    <w:qFormat/>
    <w:rsid w:val="00257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57546"/>
    <w:rPr>
      <w:i/>
      <w:iCs/>
      <w:color w:val="0F4761" w:themeColor="accent1" w:themeShade="BF"/>
    </w:rPr>
  </w:style>
  <w:style w:type="character" w:styleId="a9">
    <w:name w:val="Intense Reference"/>
    <w:basedOn w:val="a0"/>
    <w:uiPriority w:val="32"/>
    <w:qFormat/>
    <w:rsid w:val="00257546"/>
    <w:rPr>
      <w:b/>
      <w:bCs/>
      <w:smallCaps/>
      <w:color w:val="0F4761" w:themeColor="accent1" w:themeShade="BF"/>
      <w:spacing w:val="5"/>
    </w:rPr>
  </w:style>
  <w:style w:type="character" w:styleId="-">
    <w:name w:val="Hyperlink"/>
    <w:basedOn w:val="a0"/>
    <w:uiPriority w:val="99"/>
    <w:unhideWhenUsed/>
    <w:rsid w:val="00257546"/>
    <w:rPr>
      <w:color w:val="467886" w:themeColor="hyperlink"/>
      <w:u w:val="single"/>
    </w:rPr>
  </w:style>
  <w:style w:type="character" w:styleId="aa">
    <w:name w:val="Unresolved Mention"/>
    <w:basedOn w:val="a0"/>
    <w:uiPriority w:val="99"/>
    <w:semiHidden/>
    <w:unhideWhenUsed/>
    <w:rsid w:val="00257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077408">
      <w:bodyDiv w:val="1"/>
      <w:marLeft w:val="0"/>
      <w:marRight w:val="0"/>
      <w:marTop w:val="0"/>
      <w:marBottom w:val="0"/>
      <w:divBdr>
        <w:top w:val="none" w:sz="0" w:space="0" w:color="auto"/>
        <w:left w:val="none" w:sz="0" w:space="0" w:color="auto"/>
        <w:bottom w:val="none" w:sz="0" w:space="0" w:color="auto"/>
        <w:right w:val="none" w:sz="0" w:space="0" w:color="auto"/>
      </w:divBdr>
    </w:div>
    <w:div w:id="17120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l.med.uoi.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1396</Words>
  <Characters>7542</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Georgolios</dc:creator>
  <cp:keywords/>
  <dc:description/>
  <cp:lastModifiedBy>ΠΕΡΙΚΛΗΣ ΠΑΠΠΑΣ</cp:lastModifiedBy>
  <cp:revision>4</cp:revision>
  <dcterms:created xsi:type="dcterms:W3CDTF">2024-12-09T08:37:00Z</dcterms:created>
  <dcterms:modified xsi:type="dcterms:W3CDTF">2025-01-14T17:39:00Z</dcterms:modified>
</cp:coreProperties>
</file>