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A8542A">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6EFB693A" w:rsidR="005D23EB" w:rsidRPr="00482603" w:rsidRDefault="00482603" w:rsidP="00C822F5">
            <w:pPr>
              <w:rPr>
                <w:rFonts w:ascii="Cambria" w:hAnsi="Cambria" w:cs="Arial"/>
                <w:b/>
                <w:bCs/>
                <w:color w:val="002060"/>
                <w:sz w:val="20"/>
                <w:szCs w:val="20"/>
                <w:lang w:val="el-GR"/>
              </w:rPr>
            </w:pPr>
            <w:r>
              <w:rPr>
                <w:rFonts w:ascii="Cambria" w:hAnsi="Cambria" w:cs="Arial"/>
                <w:b/>
                <w:bCs/>
                <w:color w:val="002060"/>
                <w:sz w:val="20"/>
                <w:szCs w:val="20"/>
                <w:lang w:val="el-GR"/>
              </w:rPr>
              <w:t>ΙΑΕ704</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4970868D" w:rsidR="00482603" w:rsidRPr="00482603" w:rsidRDefault="00482603" w:rsidP="00482603">
            <w:pPr>
              <w:rPr>
                <w:rFonts w:ascii="Cambria" w:hAnsi="Cambria" w:cs="Arial"/>
                <w:b/>
                <w:sz w:val="20"/>
                <w:szCs w:val="20"/>
              </w:rPr>
            </w:pPr>
            <w:r>
              <w:rPr>
                <w:rFonts w:ascii="Cambria" w:hAnsi="Cambria" w:cs="Arial"/>
                <w:b/>
                <w:sz w:val="20"/>
                <w:szCs w:val="20"/>
              </w:rPr>
              <w:t>4</w:t>
            </w:r>
            <w:r w:rsidRPr="00482603">
              <w:rPr>
                <w:rFonts w:ascii="Cambria" w:hAnsi="Cambria" w:cs="Arial"/>
                <w:b/>
                <w:sz w:val="20"/>
                <w:szCs w:val="20"/>
                <w:vertAlign w:val="superscript"/>
              </w:rPr>
              <w:t>th</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600DC2ED" w:rsidR="005D23EB" w:rsidRPr="00016799" w:rsidRDefault="00482603" w:rsidP="00C822F5">
            <w:pPr>
              <w:rPr>
                <w:rFonts w:ascii="Cambria" w:hAnsi="Cambria" w:cs="Arial"/>
                <w:b/>
                <w:color w:val="002060"/>
                <w:sz w:val="20"/>
                <w:szCs w:val="20"/>
                <w:lang w:val="en-GB"/>
              </w:rPr>
            </w:pPr>
            <w:r>
              <w:rPr>
                <w:rFonts w:ascii="Cambria" w:hAnsi="Cambria" w:cs="Arial"/>
                <w:b/>
                <w:color w:val="002060"/>
                <w:sz w:val="20"/>
                <w:szCs w:val="20"/>
                <w:lang w:val="en-GB"/>
              </w:rPr>
              <w:t xml:space="preserve">MEDICAL GENETICS IN CLINICAL PRACTICE, PREVENTION AND PRENATAL GENETICS </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0924C13B" w:rsidR="005D23EB" w:rsidRPr="006403CB" w:rsidRDefault="005D23EB" w:rsidP="00C822F5">
            <w:pPr>
              <w:jc w:val="right"/>
              <w:rPr>
                <w:rFonts w:ascii="Cambria" w:hAnsi="Cambria" w:cs="Arial"/>
                <w:color w:val="002060"/>
                <w:sz w:val="20"/>
                <w:szCs w:val="20"/>
                <w:lang w:val="en-GB"/>
              </w:rPr>
            </w:pPr>
          </w:p>
        </w:tc>
        <w:tc>
          <w:tcPr>
            <w:tcW w:w="1559" w:type="dxa"/>
            <w:gridSpan w:val="2"/>
          </w:tcPr>
          <w:p w14:paraId="69C822B2" w14:textId="0AFBE56D" w:rsidR="005D23EB" w:rsidRPr="005C2432" w:rsidRDefault="0048260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7C9D4C94" w:rsidR="005D23EB" w:rsidRPr="00A30B8B" w:rsidRDefault="0048260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096C5DD9" w14:textId="77777777" w:rsidR="00D42FA3" w:rsidRPr="00D42FA3" w:rsidRDefault="00D42FA3" w:rsidP="00D42FA3">
            <w:pPr>
              <w:rPr>
                <w:rFonts w:ascii="Cambria" w:hAnsi="Cambria" w:cs="Arial"/>
                <w:color w:val="002060"/>
                <w:sz w:val="20"/>
                <w:szCs w:val="20"/>
                <w:lang w:val="el-GR"/>
              </w:rPr>
            </w:pPr>
            <w:r w:rsidRPr="00D42FA3">
              <w:rPr>
                <w:rFonts w:ascii="Cambria" w:hAnsi="Cambria" w:cs="Arial"/>
                <w:color w:val="002060"/>
                <w:sz w:val="20"/>
                <w:szCs w:val="20"/>
                <w:lang w:val="el-GR"/>
              </w:rPr>
              <w:t xml:space="preserve">Special </w:t>
            </w:r>
            <w:proofErr w:type="spellStart"/>
            <w:r w:rsidRPr="00D42FA3">
              <w:rPr>
                <w:rFonts w:ascii="Cambria" w:hAnsi="Cambria" w:cs="Arial"/>
                <w:color w:val="002060"/>
                <w:sz w:val="20"/>
                <w:szCs w:val="20"/>
                <w:lang w:val="el-GR"/>
              </w:rPr>
              <w:t>background</w:t>
            </w:r>
            <w:proofErr w:type="spellEnd"/>
          </w:p>
          <w:p w14:paraId="5F895F20" w14:textId="1D58FAB7" w:rsidR="005D23EB" w:rsidRPr="003E42F6" w:rsidRDefault="00D42FA3" w:rsidP="00D42FA3">
            <w:pPr>
              <w:rPr>
                <w:rFonts w:ascii="Cambria" w:hAnsi="Cambria" w:cs="Arial"/>
                <w:color w:val="002060"/>
                <w:sz w:val="20"/>
                <w:szCs w:val="20"/>
                <w:lang w:val="el-GR"/>
              </w:rPr>
            </w:pPr>
            <w:proofErr w:type="spellStart"/>
            <w:r w:rsidRPr="00D42FA3">
              <w:rPr>
                <w:rFonts w:ascii="Cambria" w:hAnsi="Cambria" w:cs="Arial"/>
                <w:color w:val="002060"/>
                <w:sz w:val="20"/>
                <w:szCs w:val="20"/>
                <w:lang w:val="el-GR"/>
              </w:rPr>
              <w:t>Specialised</w:t>
            </w:r>
            <w:proofErr w:type="spellEnd"/>
            <w:r w:rsidRPr="00D42FA3">
              <w:rPr>
                <w:rFonts w:ascii="Cambria" w:hAnsi="Cambria" w:cs="Arial"/>
                <w:color w:val="002060"/>
                <w:sz w:val="20"/>
                <w:szCs w:val="20"/>
                <w:lang w:val="el-GR"/>
              </w:rPr>
              <w:t xml:space="preserve"> </w:t>
            </w:r>
            <w:proofErr w:type="spellStart"/>
            <w:r w:rsidRPr="00D42FA3">
              <w:rPr>
                <w:rFonts w:ascii="Cambria" w:hAnsi="Cambria" w:cs="Arial"/>
                <w:color w:val="002060"/>
                <w:sz w:val="20"/>
                <w:szCs w:val="20"/>
                <w:lang w:val="el-GR"/>
              </w:rPr>
              <w:t>general</w:t>
            </w:r>
            <w:proofErr w:type="spellEnd"/>
            <w:r w:rsidRPr="00D42FA3">
              <w:rPr>
                <w:rFonts w:ascii="Cambria" w:hAnsi="Cambria" w:cs="Arial"/>
                <w:color w:val="002060"/>
                <w:sz w:val="20"/>
                <w:szCs w:val="20"/>
                <w:lang w:val="el-GR"/>
              </w:rPr>
              <w:t xml:space="preserve"> </w:t>
            </w:r>
            <w:proofErr w:type="spellStart"/>
            <w:r w:rsidRPr="00D42FA3">
              <w:rPr>
                <w:rFonts w:ascii="Cambria" w:hAnsi="Cambria" w:cs="Arial"/>
                <w:color w:val="002060"/>
                <w:sz w:val="20"/>
                <w:szCs w:val="20"/>
                <w:lang w:val="el-GR"/>
              </w:rPr>
              <w:t>knowledge</w:t>
            </w:r>
            <w:proofErr w:type="spellEnd"/>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DECB89" w:rsidR="005D23EB" w:rsidRPr="006403CB" w:rsidRDefault="005D23EB" w:rsidP="00C822F5">
            <w:pPr>
              <w:rPr>
                <w:rFonts w:ascii="Cambria" w:hAnsi="Cambria" w:cs="Arial"/>
                <w:color w:val="002060"/>
                <w:sz w:val="20"/>
                <w:szCs w:val="20"/>
                <w:lang w:val="en-GB"/>
              </w:rPr>
            </w:pP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444FBE8E" w:rsidR="005D23EB" w:rsidRPr="00D42FA3" w:rsidRDefault="00D42FA3" w:rsidP="00C822F5">
            <w:pPr>
              <w:rPr>
                <w:rFonts w:ascii="Cambria" w:hAnsi="Cambria" w:cs="Arial"/>
                <w:color w:val="002060"/>
                <w:sz w:val="20"/>
                <w:szCs w:val="20"/>
              </w:rPr>
            </w:pPr>
            <w:r>
              <w:rPr>
                <w:rFonts w:ascii="Cambria" w:hAnsi="Cambria" w:cs="Arial"/>
                <w:color w:val="002060"/>
                <w:sz w:val="20"/>
                <w:szCs w:val="20"/>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E0B0B48" w:rsidR="005D23EB" w:rsidRPr="006403CB" w:rsidRDefault="005D23EB" w:rsidP="00C822F5">
            <w:pPr>
              <w:rPr>
                <w:rFonts w:ascii="Cambria" w:hAnsi="Cambria" w:cs="Arial"/>
                <w:color w:val="002060"/>
                <w:sz w:val="20"/>
                <w:szCs w:val="20"/>
                <w:lang w:val="en-GB"/>
              </w:rPr>
            </w:pP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61A8F747" w:rsidR="005D23EB" w:rsidRPr="006403CB" w:rsidRDefault="00D42FA3" w:rsidP="00C822F5">
            <w:pPr>
              <w:spacing w:after="200" w:line="276" w:lineRule="auto"/>
              <w:rPr>
                <w:rFonts w:ascii="Cambria" w:hAnsi="Cambria" w:cs="Arial"/>
                <w:color w:val="002060"/>
                <w:sz w:val="20"/>
                <w:szCs w:val="20"/>
                <w:lang w:val="en-GB"/>
              </w:rPr>
            </w:pPr>
            <w:r w:rsidRPr="00D42FA3">
              <w:rPr>
                <w:rFonts w:ascii="Cambria" w:hAnsi="Cambria" w:cs="Arial"/>
                <w:color w:val="002060"/>
                <w:sz w:val="20"/>
                <w:szCs w:val="20"/>
                <w:lang w:val="en-GB"/>
              </w:rPr>
              <w:t>https://ecourse.uoi.gr/course/view.php?id=185</w:t>
            </w:r>
          </w:p>
        </w:tc>
      </w:tr>
    </w:tbl>
    <w:p w14:paraId="2435095F" w14:textId="77777777" w:rsidR="005D23EB" w:rsidRDefault="005D23EB" w:rsidP="008671BA">
      <w:pPr>
        <w:rPr>
          <w:rFonts w:ascii="Cambria" w:hAnsi="Cambria"/>
          <w:lang w:val="el-GR"/>
        </w:rPr>
      </w:pPr>
    </w:p>
    <w:p w14:paraId="21B5378A" w14:textId="77777777" w:rsidR="00293C01" w:rsidRDefault="00293C01" w:rsidP="008671BA">
      <w:pPr>
        <w:rPr>
          <w:rFonts w:ascii="Cambria" w:hAnsi="Cambria"/>
          <w:lang w:val="el-GR"/>
        </w:rPr>
      </w:pPr>
    </w:p>
    <w:p w14:paraId="40205B2F" w14:textId="77777777" w:rsidR="00293C01" w:rsidRDefault="00293C01" w:rsidP="008671BA">
      <w:pPr>
        <w:rPr>
          <w:rFonts w:ascii="Cambria" w:hAnsi="Cambria"/>
          <w:lang w:val="el-GR"/>
        </w:rPr>
      </w:pPr>
    </w:p>
    <w:p w14:paraId="345700CD" w14:textId="77777777" w:rsidR="00293C01" w:rsidRDefault="00293C01" w:rsidP="008671BA">
      <w:pPr>
        <w:rPr>
          <w:rFonts w:ascii="Cambria" w:hAnsi="Cambria"/>
          <w:lang w:val="el-GR"/>
        </w:rPr>
      </w:pPr>
    </w:p>
    <w:p w14:paraId="08C69370" w14:textId="77777777" w:rsidR="00293C01" w:rsidRDefault="00293C01" w:rsidP="008671BA">
      <w:pPr>
        <w:rPr>
          <w:rFonts w:ascii="Cambria" w:hAnsi="Cambria"/>
          <w:lang w:val="el-GR"/>
        </w:rPr>
      </w:pPr>
    </w:p>
    <w:p w14:paraId="4512F6CB" w14:textId="77777777" w:rsidR="00293C01" w:rsidRDefault="00293C01" w:rsidP="008671BA">
      <w:pPr>
        <w:rPr>
          <w:rFonts w:ascii="Cambria" w:hAnsi="Cambria"/>
          <w:lang w:val="el-GR"/>
        </w:rPr>
      </w:pPr>
    </w:p>
    <w:p w14:paraId="0392B20D" w14:textId="77777777" w:rsidR="00293C01" w:rsidRDefault="00293C01" w:rsidP="008671BA">
      <w:pPr>
        <w:rPr>
          <w:rFonts w:ascii="Cambria" w:hAnsi="Cambria"/>
          <w:lang w:val="el-GR"/>
        </w:rPr>
      </w:pPr>
    </w:p>
    <w:p w14:paraId="2DC54A35" w14:textId="77777777" w:rsidR="00293C01" w:rsidRDefault="00293C01" w:rsidP="008671BA">
      <w:pPr>
        <w:rPr>
          <w:rFonts w:ascii="Cambria" w:hAnsi="Cambria"/>
          <w:lang w:val="el-GR"/>
        </w:rPr>
      </w:pPr>
    </w:p>
    <w:p w14:paraId="04BC908D" w14:textId="77777777" w:rsidR="00293C01" w:rsidRPr="00293C01" w:rsidRDefault="00293C01" w:rsidP="008671BA">
      <w:pPr>
        <w:rPr>
          <w:rFonts w:ascii="Cambria" w:hAnsi="Cambria"/>
          <w:lang w:val="el-GR"/>
        </w:rPr>
      </w:pPr>
      <w:r>
        <w:rPr>
          <w:rFonts w:ascii="Cambria" w:hAnsi="Cambria"/>
          <w:lang w:val="el-GR"/>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7C68BF00" w14:textId="59A69BFF" w:rsidR="003318BE" w:rsidRPr="00B94A3E" w:rsidRDefault="003318BE" w:rsidP="003318BE">
            <w:pPr>
              <w:widowControl w:val="0"/>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lang w:val="en-GB"/>
              </w:rPr>
              <w:t xml:space="preserve">The course introduces the student in the </w:t>
            </w:r>
            <w:r w:rsidR="00A8542A" w:rsidRPr="00B94A3E">
              <w:rPr>
                <w:rFonts w:ascii="Cambria" w:hAnsi="Cambria"/>
                <w:color w:val="244061" w:themeColor="accent1" w:themeShade="80"/>
                <w:sz w:val="22"/>
                <w:szCs w:val="22"/>
                <w:lang w:val="en-GB"/>
              </w:rPr>
              <w:t>expertise</w:t>
            </w:r>
            <w:r w:rsidRPr="00B94A3E">
              <w:rPr>
                <w:rFonts w:ascii="Cambria" w:hAnsi="Cambria"/>
                <w:color w:val="244061" w:themeColor="accent1" w:themeShade="80"/>
                <w:sz w:val="22"/>
                <w:szCs w:val="22"/>
              </w:rPr>
              <w:t xml:space="preserve"> of human genetics in clinical practice and in approaches for the genetic investigation in human reproduction. The course content introduces the student </w:t>
            </w:r>
            <w:proofErr w:type="gramStart"/>
            <w:r w:rsidRPr="00B94A3E">
              <w:rPr>
                <w:rFonts w:ascii="Cambria" w:hAnsi="Cambria"/>
                <w:color w:val="244061" w:themeColor="accent1" w:themeShade="80"/>
                <w:sz w:val="22"/>
                <w:szCs w:val="22"/>
              </w:rPr>
              <w:t>in</w:t>
            </w:r>
            <w:proofErr w:type="gramEnd"/>
            <w:r w:rsidRPr="00B94A3E">
              <w:rPr>
                <w:rFonts w:ascii="Cambria" w:hAnsi="Cambria"/>
                <w:color w:val="244061" w:themeColor="accent1" w:themeShade="80"/>
                <w:sz w:val="22"/>
                <w:szCs w:val="22"/>
              </w:rPr>
              <w:t xml:space="preserve"> understanding clinical problems which involve inherited and congenital factors and how to diagnose and prevent the birth of children with genetic conditions. </w:t>
            </w:r>
          </w:p>
          <w:p w14:paraId="59745D48" w14:textId="77777777" w:rsidR="003318BE" w:rsidRPr="00B94A3E" w:rsidRDefault="003318BE" w:rsidP="003318BE">
            <w:pPr>
              <w:widowControl w:val="0"/>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In addition, an outline of laboratory diagnostic methods and their rapid expansion through the years is provided, which introduces the student in latest diagnostic tools and methods.</w:t>
            </w:r>
          </w:p>
          <w:p w14:paraId="602B7DC7" w14:textId="77777777" w:rsidR="003318BE" w:rsidRPr="00B94A3E" w:rsidRDefault="003318BE" w:rsidP="003318BE">
            <w:pPr>
              <w:widowControl w:val="0"/>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Finally, the combination of clinical and laboratory practice will give an overview for the management of genetic conditions in the current practice of clinical genetics. </w:t>
            </w:r>
          </w:p>
          <w:p w14:paraId="7F852756" w14:textId="77777777" w:rsidR="003318BE" w:rsidRPr="00B94A3E" w:rsidRDefault="003318BE" w:rsidP="003318BE">
            <w:pPr>
              <w:widowControl w:val="0"/>
              <w:autoSpaceDE w:val="0"/>
              <w:autoSpaceDN w:val="0"/>
              <w:adjustRightInd w:val="0"/>
              <w:jc w:val="both"/>
              <w:rPr>
                <w:rFonts w:ascii="Cambria" w:hAnsi="Cambria"/>
                <w:color w:val="244061" w:themeColor="accent1" w:themeShade="80"/>
                <w:sz w:val="22"/>
                <w:szCs w:val="22"/>
              </w:rPr>
            </w:pPr>
          </w:p>
          <w:p w14:paraId="32430B99" w14:textId="77777777" w:rsidR="003318BE" w:rsidRPr="00B94A3E" w:rsidRDefault="003318BE" w:rsidP="003318BE">
            <w:pPr>
              <w:widowControl w:val="0"/>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At the end of the course the student will be able to:</w:t>
            </w:r>
          </w:p>
          <w:p w14:paraId="3B93E8A9" w14:textId="7B0F7DF6" w:rsidR="003318BE" w:rsidRPr="00B94A3E" w:rsidRDefault="003318BE" w:rsidP="00B94A3E">
            <w:pPr>
              <w:widowControl w:val="0"/>
              <w:numPr>
                <w:ilvl w:val="0"/>
                <w:numId w:val="11"/>
              </w:numPr>
              <w:autoSpaceDE w:val="0"/>
              <w:autoSpaceDN w:val="0"/>
              <w:adjustRightInd w:val="0"/>
              <w:jc w:val="both"/>
              <w:rPr>
                <w:rFonts w:ascii="Cambria" w:hAnsi="Cambria"/>
                <w:strike/>
                <w:color w:val="244061" w:themeColor="accent1" w:themeShade="80"/>
                <w:sz w:val="22"/>
                <w:szCs w:val="22"/>
              </w:rPr>
            </w:pPr>
            <w:r w:rsidRPr="00B94A3E">
              <w:rPr>
                <w:rFonts w:ascii="Cambria" w:hAnsi="Cambria"/>
                <w:color w:val="244061" w:themeColor="accent1" w:themeShade="80"/>
                <w:sz w:val="22"/>
                <w:szCs w:val="22"/>
              </w:rPr>
              <w:t xml:space="preserve">Understand the basic and critical characteristics of genetic conditions </w:t>
            </w:r>
          </w:p>
          <w:p w14:paraId="3CEA4CFF" w14:textId="3E0FE25D" w:rsidR="008F7C3C" w:rsidRPr="00B94A3E" w:rsidRDefault="006106AB"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create</w:t>
            </w:r>
            <w:r w:rsidR="008F7C3C" w:rsidRPr="00B94A3E">
              <w:rPr>
                <w:rFonts w:ascii="Cambria" w:hAnsi="Cambria"/>
                <w:color w:val="244061" w:themeColor="accent1" w:themeShade="80"/>
                <w:sz w:val="22"/>
                <w:szCs w:val="22"/>
              </w:rPr>
              <w:t xml:space="preserve"> a family pedigree and understand the mode of inheritance of a genetic condition and recommend special tests</w:t>
            </w:r>
          </w:p>
          <w:p w14:paraId="4868BEA4" w14:textId="042295B0" w:rsidR="008F7C3C" w:rsidRPr="00B94A3E" w:rsidRDefault="008F7C3C"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recognize and appreciate the need for </w:t>
            </w:r>
            <w:proofErr w:type="spellStart"/>
            <w:r w:rsidR="00A37F13" w:rsidRPr="00B94A3E">
              <w:rPr>
                <w:rFonts w:ascii="Cambria" w:hAnsi="Cambria"/>
                <w:color w:val="244061" w:themeColor="accent1" w:themeShade="80"/>
                <w:sz w:val="22"/>
                <w:szCs w:val="22"/>
              </w:rPr>
              <w:t>gamilial</w:t>
            </w:r>
            <w:proofErr w:type="spellEnd"/>
            <w:r w:rsidR="00A37F13" w:rsidRPr="00B94A3E">
              <w:rPr>
                <w:rFonts w:ascii="Cambria" w:hAnsi="Cambria"/>
                <w:color w:val="244061" w:themeColor="accent1" w:themeShade="80"/>
                <w:sz w:val="22"/>
                <w:szCs w:val="22"/>
              </w:rPr>
              <w:t xml:space="preserve"> genetic evaluation </w:t>
            </w:r>
          </w:p>
          <w:p w14:paraId="70B2B85F" w14:textId="7B1BD6A5" w:rsidR="00A37F13" w:rsidRPr="00B94A3E" w:rsidRDefault="00A37F13"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be able to distinguish key characters in a real case or case study of a genetic disease and appreciate their role in diagnosis</w:t>
            </w:r>
          </w:p>
          <w:p w14:paraId="71198520" w14:textId="146C08B7" w:rsidR="00A37F13" w:rsidRPr="00B94A3E" w:rsidRDefault="00A37F13"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recognize and understand the different categories of genetic tests such as: prenatal testing, pre-implantation diagnosis (of </w:t>
            </w:r>
            <w:proofErr w:type="spellStart"/>
            <w:r w:rsidRPr="00B94A3E">
              <w:rPr>
                <w:rFonts w:ascii="Cambria" w:hAnsi="Cambria"/>
                <w:color w:val="244061" w:themeColor="accent1" w:themeShade="80"/>
                <w:sz w:val="22"/>
                <w:szCs w:val="22"/>
              </w:rPr>
              <w:t>Monogeneic</w:t>
            </w:r>
            <w:proofErr w:type="spellEnd"/>
            <w:r w:rsidRPr="00B94A3E">
              <w:rPr>
                <w:rFonts w:ascii="Cambria" w:hAnsi="Cambria"/>
                <w:color w:val="244061" w:themeColor="accent1" w:themeShade="80"/>
                <w:sz w:val="22"/>
                <w:szCs w:val="22"/>
              </w:rPr>
              <w:t xml:space="preserve"> or Chromosomal Diseases)</w:t>
            </w:r>
          </w:p>
          <w:p w14:paraId="70C23668" w14:textId="77777777" w:rsidR="003318BE" w:rsidRPr="00B94A3E" w:rsidRDefault="003318BE"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Understand laboratory tools and techniques for the identification of individuals who are carriers of genetic conditions </w:t>
            </w:r>
          </w:p>
          <w:p w14:paraId="2B5FE930" w14:textId="77777777" w:rsidR="003318BE" w:rsidRPr="00B94A3E" w:rsidRDefault="003318BE"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Identify major features for several genetic conditions and evaluate their role in the diagnosis </w:t>
            </w:r>
          </w:p>
          <w:p w14:paraId="19819BE6" w14:textId="77777777" w:rsidR="003318BE" w:rsidRPr="00B94A3E" w:rsidRDefault="003318BE"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Use </w:t>
            </w:r>
            <w:proofErr w:type="gramStart"/>
            <w:r w:rsidRPr="00B94A3E">
              <w:rPr>
                <w:rFonts w:ascii="Cambria" w:hAnsi="Cambria"/>
                <w:color w:val="244061" w:themeColor="accent1" w:themeShade="80"/>
                <w:sz w:val="22"/>
                <w:szCs w:val="22"/>
              </w:rPr>
              <w:t>the testing</w:t>
            </w:r>
            <w:proofErr w:type="gramEnd"/>
            <w:r w:rsidRPr="00B94A3E">
              <w:rPr>
                <w:rFonts w:ascii="Cambria" w:hAnsi="Cambria"/>
                <w:color w:val="244061" w:themeColor="accent1" w:themeShade="80"/>
                <w:sz w:val="22"/>
                <w:szCs w:val="22"/>
              </w:rPr>
              <w:t xml:space="preserve"> methods for the identification of carriers of a genetic condition and individuals with high risk for genetic disorders</w:t>
            </w:r>
          </w:p>
          <w:p w14:paraId="60D44484" w14:textId="69D0A11F" w:rsidR="00A37F13" w:rsidRPr="00B94A3E" w:rsidRDefault="00A37F13" w:rsidP="003318BE">
            <w:pPr>
              <w:widowControl w:val="0"/>
              <w:numPr>
                <w:ilvl w:val="0"/>
                <w:numId w:val="11"/>
              </w:numPr>
              <w:autoSpaceDE w:val="0"/>
              <w:autoSpaceDN w:val="0"/>
              <w:adjustRightInd w:val="0"/>
              <w:jc w:val="both"/>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propose ways of diagnostic approach to a genetic disease that they will face in their clinical practice (e.g. in cases of frequent inherited diseases (e.g. beta-thalassemia), in couples of reproductive </w:t>
            </w:r>
            <w:proofErr w:type="gramStart"/>
            <w:r w:rsidRPr="00B94A3E">
              <w:rPr>
                <w:rFonts w:ascii="Cambria" w:hAnsi="Cambria"/>
                <w:color w:val="244061" w:themeColor="accent1" w:themeShade="80"/>
                <w:sz w:val="22"/>
                <w:szCs w:val="22"/>
              </w:rPr>
              <w:t>age</w:t>
            </w:r>
            <w:proofErr w:type="gramEnd"/>
            <w:r w:rsidRPr="00B94A3E">
              <w:rPr>
                <w:rFonts w:ascii="Cambria" w:hAnsi="Cambria"/>
                <w:color w:val="244061" w:themeColor="accent1" w:themeShade="80"/>
                <w:sz w:val="22"/>
                <w:szCs w:val="22"/>
              </w:rPr>
              <w:t xml:space="preserve"> or during pregnancy or when undergoing methods assisted, in families with children with congenital abnormalities of mental retardation and neurodevelopmental disorder</w:t>
            </w:r>
          </w:p>
          <w:p w14:paraId="1C4688A5" w14:textId="451D6B89" w:rsidR="003318BE" w:rsidRPr="00B94A3E" w:rsidRDefault="003318BE" w:rsidP="003318BE">
            <w:pPr>
              <w:widowControl w:val="0"/>
              <w:numPr>
                <w:ilvl w:val="0"/>
                <w:numId w:val="11"/>
              </w:numPr>
              <w:autoSpaceDE w:val="0"/>
              <w:autoSpaceDN w:val="0"/>
              <w:adjustRightInd w:val="0"/>
              <w:rPr>
                <w:rFonts w:ascii="Cambria" w:hAnsi="Cambria"/>
                <w:color w:val="244061" w:themeColor="accent1" w:themeShade="80"/>
                <w:sz w:val="22"/>
                <w:szCs w:val="22"/>
              </w:rPr>
            </w:pPr>
            <w:r w:rsidRPr="00B94A3E">
              <w:rPr>
                <w:rFonts w:ascii="Cambria" w:hAnsi="Cambria"/>
                <w:color w:val="244061" w:themeColor="accent1" w:themeShade="80"/>
                <w:sz w:val="22"/>
                <w:szCs w:val="22"/>
              </w:rPr>
              <w:t xml:space="preserve">Analyze and calculate the major genetic characteristics of a genetic condition and associate them with </w:t>
            </w:r>
            <w:proofErr w:type="gramStart"/>
            <w:r w:rsidRPr="00B94A3E">
              <w:rPr>
                <w:rFonts w:ascii="Cambria" w:hAnsi="Cambria"/>
                <w:color w:val="244061" w:themeColor="accent1" w:themeShade="80"/>
                <w:sz w:val="22"/>
                <w:szCs w:val="22"/>
              </w:rPr>
              <w:t>the</w:t>
            </w:r>
            <w:proofErr w:type="gramEnd"/>
            <w:r w:rsidRPr="00B94A3E">
              <w:rPr>
                <w:rFonts w:ascii="Cambria" w:hAnsi="Cambria"/>
                <w:color w:val="244061" w:themeColor="accent1" w:themeShade="80"/>
                <w:sz w:val="22"/>
                <w:szCs w:val="22"/>
              </w:rPr>
              <w:t xml:space="preserve"> effective testing method</w:t>
            </w:r>
          </w:p>
          <w:p w14:paraId="6CBA208E" w14:textId="30A85DED" w:rsidR="003318BE" w:rsidRPr="00B94A3E" w:rsidRDefault="00204E66" w:rsidP="003318BE">
            <w:pPr>
              <w:widowControl w:val="0"/>
              <w:numPr>
                <w:ilvl w:val="0"/>
                <w:numId w:val="11"/>
              </w:numPr>
              <w:autoSpaceDE w:val="0"/>
              <w:autoSpaceDN w:val="0"/>
              <w:adjustRightInd w:val="0"/>
              <w:rPr>
                <w:rFonts w:ascii="Cambria" w:hAnsi="Cambria"/>
                <w:color w:val="244061" w:themeColor="accent1" w:themeShade="80"/>
                <w:sz w:val="22"/>
                <w:szCs w:val="22"/>
              </w:rPr>
            </w:pPr>
            <w:r w:rsidRPr="00B94A3E">
              <w:rPr>
                <w:rFonts w:ascii="Cambria" w:hAnsi="Cambria"/>
                <w:color w:val="244061" w:themeColor="accent1" w:themeShade="80"/>
                <w:sz w:val="22"/>
                <w:szCs w:val="22"/>
              </w:rPr>
              <w:t>understand the role of genetic counseling in the prevention of genetic diseases</w:t>
            </w:r>
          </w:p>
          <w:p w14:paraId="0B53EEEB" w14:textId="15BDE914" w:rsidR="00204E66" w:rsidRPr="00B94A3E" w:rsidRDefault="00204E66" w:rsidP="003318BE">
            <w:pPr>
              <w:widowControl w:val="0"/>
              <w:numPr>
                <w:ilvl w:val="0"/>
                <w:numId w:val="11"/>
              </w:numPr>
              <w:autoSpaceDE w:val="0"/>
              <w:autoSpaceDN w:val="0"/>
              <w:adjustRightInd w:val="0"/>
              <w:rPr>
                <w:rFonts w:ascii="Cambria" w:hAnsi="Cambria"/>
                <w:color w:val="244061" w:themeColor="accent1" w:themeShade="80"/>
                <w:sz w:val="22"/>
                <w:szCs w:val="22"/>
              </w:rPr>
            </w:pPr>
            <w:r w:rsidRPr="00B94A3E">
              <w:rPr>
                <w:rFonts w:ascii="Cambria" w:hAnsi="Cambria"/>
                <w:color w:val="244061" w:themeColor="accent1" w:themeShade="80"/>
                <w:sz w:val="22"/>
                <w:szCs w:val="22"/>
              </w:rPr>
              <w:t>be able to</w:t>
            </w:r>
            <w:r w:rsidR="00684D03" w:rsidRPr="00B94A3E">
              <w:rPr>
                <w:rFonts w:ascii="Cambria" w:hAnsi="Cambria"/>
                <w:color w:val="244061" w:themeColor="accent1" w:themeShade="80"/>
                <w:sz w:val="22"/>
                <w:szCs w:val="22"/>
              </w:rPr>
              <w:t xml:space="preserve"> navigate and </w:t>
            </w:r>
            <w:r w:rsidRPr="00B94A3E">
              <w:rPr>
                <w:rFonts w:ascii="Cambria" w:hAnsi="Cambria"/>
                <w:color w:val="244061" w:themeColor="accent1" w:themeShade="80"/>
                <w:sz w:val="22"/>
                <w:szCs w:val="22"/>
              </w:rPr>
              <w:t>search Medical Genetics databases</w:t>
            </w:r>
            <w:r w:rsidR="00684D03" w:rsidRPr="00B94A3E">
              <w:rPr>
                <w:rFonts w:ascii="Cambria" w:hAnsi="Cambria"/>
                <w:color w:val="244061" w:themeColor="accent1" w:themeShade="80"/>
                <w:sz w:val="22"/>
                <w:szCs w:val="22"/>
              </w:rPr>
              <w:t xml:space="preserve"> (OMIM, DECIPHER, NCBI, Human Phenotype Ontology, ENCODE, </w:t>
            </w:r>
            <w:proofErr w:type="spellStart"/>
            <w:r w:rsidR="00684D03" w:rsidRPr="00B94A3E">
              <w:rPr>
                <w:rFonts w:ascii="Cambria" w:hAnsi="Cambria"/>
                <w:color w:val="244061" w:themeColor="accent1" w:themeShade="80"/>
                <w:sz w:val="22"/>
                <w:szCs w:val="22"/>
              </w:rPr>
              <w:t>exac</w:t>
            </w:r>
            <w:proofErr w:type="spellEnd"/>
            <w:r w:rsidR="00684D03" w:rsidRPr="00B94A3E">
              <w:rPr>
                <w:rFonts w:ascii="Cambria" w:hAnsi="Cambria"/>
                <w:color w:val="244061" w:themeColor="accent1" w:themeShade="80"/>
                <w:sz w:val="22"/>
                <w:szCs w:val="22"/>
              </w:rPr>
              <w:t xml:space="preserve">, </w:t>
            </w:r>
            <w:proofErr w:type="spellStart"/>
            <w:r w:rsidR="00684D03" w:rsidRPr="00B94A3E">
              <w:rPr>
                <w:rFonts w:ascii="Cambria" w:hAnsi="Cambria"/>
                <w:color w:val="244061" w:themeColor="accent1" w:themeShade="80"/>
                <w:sz w:val="22"/>
                <w:szCs w:val="22"/>
              </w:rPr>
              <w:t>PharmGKB</w:t>
            </w:r>
            <w:proofErr w:type="spellEnd"/>
            <w:r w:rsidR="00684D03" w:rsidRPr="00B94A3E">
              <w:rPr>
                <w:rFonts w:ascii="Cambria" w:hAnsi="Cambria"/>
                <w:color w:val="244061" w:themeColor="accent1" w:themeShade="80"/>
                <w:sz w:val="22"/>
                <w:szCs w:val="22"/>
              </w:rPr>
              <w:t>)</w:t>
            </w:r>
          </w:p>
          <w:p w14:paraId="5C698666" w14:textId="1595FD0E" w:rsidR="002E04C6" w:rsidRPr="00B94A3E" w:rsidRDefault="003318BE" w:rsidP="001B6432">
            <w:pPr>
              <w:widowControl w:val="0"/>
              <w:numPr>
                <w:ilvl w:val="0"/>
                <w:numId w:val="11"/>
              </w:numPr>
              <w:autoSpaceDE w:val="0"/>
              <w:autoSpaceDN w:val="0"/>
              <w:adjustRightInd w:val="0"/>
              <w:jc w:val="both"/>
              <w:rPr>
                <w:rFonts w:asciiTheme="majorHAnsi" w:hAnsiTheme="majorHAnsi"/>
                <w:b/>
                <w:bCs/>
                <w:color w:val="244061" w:themeColor="accent1" w:themeShade="80"/>
                <w:sz w:val="20"/>
                <w:szCs w:val="20"/>
              </w:rPr>
            </w:pPr>
            <w:r w:rsidRPr="00B94A3E">
              <w:rPr>
                <w:rFonts w:ascii="Cambria" w:hAnsi="Cambria"/>
                <w:color w:val="244061" w:themeColor="accent1" w:themeShade="80"/>
                <w:sz w:val="22"/>
                <w:szCs w:val="22"/>
              </w:rPr>
              <w:t xml:space="preserve">Collaborate with his/her colleague for the presentation and the management of a case report </w:t>
            </w: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lastRenderedPageBreak/>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4DCD9F35" w14:textId="77777777" w:rsidR="008D1CA0" w:rsidRPr="00B94A3E" w:rsidRDefault="008D1CA0" w:rsidP="00185B2F">
            <w:pPr>
              <w:pStyle w:val="ab"/>
              <w:widowControl w:val="0"/>
              <w:numPr>
                <w:ilvl w:val="0"/>
                <w:numId w:val="12"/>
              </w:numPr>
              <w:autoSpaceDE w:val="0"/>
              <w:autoSpaceDN w:val="0"/>
              <w:adjustRightInd w:val="0"/>
              <w:spacing w:after="60"/>
              <w:rPr>
                <w:rFonts w:ascii="Cambria" w:hAnsi="Cambria"/>
                <w:color w:val="244061" w:themeColor="accent1" w:themeShade="80"/>
                <w:lang w:val="en-GB"/>
              </w:rPr>
            </w:pPr>
            <w:r w:rsidRPr="00B94A3E">
              <w:rPr>
                <w:rFonts w:ascii="Cambria" w:hAnsi="Cambria"/>
                <w:color w:val="244061" w:themeColor="accent1" w:themeShade="80"/>
                <w:lang w:val="en-GB"/>
              </w:rPr>
              <w:lastRenderedPageBreak/>
              <w:t xml:space="preserve">Working independently </w:t>
            </w:r>
          </w:p>
          <w:p w14:paraId="6461A16C" w14:textId="77777777" w:rsidR="008D1CA0" w:rsidRPr="00B94A3E" w:rsidRDefault="008D1CA0" w:rsidP="00185B2F">
            <w:pPr>
              <w:pStyle w:val="ab"/>
              <w:widowControl w:val="0"/>
              <w:numPr>
                <w:ilvl w:val="0"/>
                <w:numId w:val="12"/>
              </w:numPr>
              <w:autoSpaceDE w:val="0"/>
              <w:autoSpaceDN w:val="0"/>
              <w:adjustRightInd w:val="0"/>
              <w:spacing w:after="60"/>
              <w:rPr>
                <w:rFonts w:ascii="Cambria" w:hAnsi="Cambria"/>
                <w:color w:val="244061" w:themeColor="accent1" w:themeShade="80"/>
                <w:lang w:val="en-GB"/>
              </w:rPr>
            </w:pPr>
            <w:proofErr w:type="gramStart"/>
            <w:r w:rsidRPr="00B94A3E">
              <w:rPr>
                <w:rFonts w:ascii="Cambria" w:hAnsi="Cambria"/>
                <w:color w:val="244061" w:themeColor="accent1" w:themeShade="80"/>
                <w:lang w:val="en-GB"/>
              </w:rPr>
              <w:t>Team work</w:t>
            </w:r>
            <w:proofErr w:type="gramEnd"/>
            <w:r w:rsidRPr="00B94A3E">
              <w:rPr>
                <w:rFonts w:ascii="Cambria" w:hAnsi="Cambria"/>
                <w:color w:val="244061" w:themeColor="accent1" w:themeShade="80"/>
                <w:lang w:val="en-GB"/>
              </w:rPr>
              <w:t xml:space="preserve"> </w:t>
            </w:r>
          </w:p>
          <w:p w14:paraId="107A9F07" w14:textId="77777777" w:rsidR="008D1CA0" w:rsidRPr="00B94A3E" w:rsidRDefault="008D1CA0" w:rsidP="00185B2F">
            <w:pPr>
              <w:pStyle w:val="ab"/>
              <w:widowControl w:val="0"/>
              <w:numPr>
                <w:ilvl w:val="0"/>
                <w:numId w:val="12"/>
              </w:numPr>
              <w:autoSpaceDE w:val="0"/>
              <w:autoSpaceDN w:val="0"/>
              <w:adjustRightInd w:val="0"/>
              <w:spacing w:after="60"/>
              <w:rPr>
                <w:rFonts w:ascii="Cambria" w:hAnsi="Cambria"/>
                <w:color w:val="244061" w:themeColor="accent1" w:themeShade="80"/>
                <w:lang w:val="en-GB"/>
              </w:rPr>
            </w:pPr>
            <w:r w:rsidRPr="00B94A3E">
              <w:rPr>
                <w:rFonts w:ascii="Cambria" w:hAnsi="Cambria"/>
                <w:color w:val="244061" w:themeColor="accent1" w:themeShade="80"/>
                <w:lang w:val="en-GB"/>
              </w:rPr>
              <w:t>Clinical and laboratory thinking</w:t>
            </w:r>
          </w:p>
          <w:p w14:paraId="580867E7" w14:textId="0091B39C" w:rsidR="00185B2F" w:rsidRPr="00B94A3E" w:rsidRDefault="008D1CA0" w:rsidP="00185B2F">
            <w:pPr>
              <w:pStyle w:val="ab"/>
              <w:widowControl w:val="0"/>
              <w:numPr>
                <w:ilvl w:val="0"/>
                <w:numId w:val="12"/>
              </w:numPr>
              <w:autoSpaceDE w:val="0"/>
              <w:autoSpaceDN w:val="0"/>
              <w:adjustRightInd w:val="0"/>
              <w:spacing w:after="60"/>
              <w:rPr>
                <w:rFonts w:ascii="Cambria" w:hAnsi="Cambria"/>
                <w:color w:val="244061" w:themeColor="accent1" w:themeShade="80"/>
                <w:lang w:val="en-GB"/>
              </w:rPr>
            </w:pPr>
            <w:r w:rsidRPr="00B94A3E">
              <w:rPr>
                <w:rFonts w:ascii="Cambria" w:hAnsi="Cambria"/>
                <w:color w:val="244061" w:themeColor="accent1" w:themeShade="80"/>
                <w:lang w:val="en-GB"/>
              </w:rPr>
              <w:t>Development of diagnostic practice for the management of cases with genetic diseases</w:t>
            </w:r>
          </w:p>
          <w:p w14:paraId="264C8B8B" w14:textId="77777777" w:rsidR="00900035" w:rsidRPr="00B94A3E" w:rsidRDefault="00900035" w:rsidP="00C71B81">
            <w:pPr>
              <w:pStyle w:val="ab"/>
              <w:widowControl w:val="0"/>
              <w:numPr>
                <w:ilvl w:val="0"/>
                <w:numId w:val="12"/>
              </w:numPr>
              <w:autoSpaceDE w:val="0"/>
              <w:autoSpaceDN w:val="0"/>
              <w:adjustRightInd w:val="0"/>
              <w:spacing w:after="60"/>
              <w:rPr>
                <w:rFonts w:ascii="Cambria" w:hAnsi="Cambria"/>
                <w:color w:val="244061" w:themeColor="accent1" w:themeShade="80"/>
                <w:lang w:val="en-GB"/>
              </w:rPr>
            </w:pPr>
            <w:r w:rsidRPr="00B94A3E">
              <w:rPr>
                <w:rFonts w:ascii="Cambria" w:hAnsi="Cambria"/>
                <w:color w:val="244061" w:themeColor="accent1" w:themeShade="80"/>
                <w:lang w:val="en-GB"/>
              </w:rPr>
              <w:t xml:space="preserve">Search for, analysis and synthesis of data and information, with the use of the necessary technology </w:t>
            </w:r>
          </w:p>
          <w:p w14:paraId="3A04421B" w14:textId="36F06590" w:rsidR="001B6432" w:rsidRPr="00D21E0C" w:rsidRDefault="00900035" w:rsidP="00BF7CFD">
            <w:pPr>
              <w:pStyle w:val="ab"/>
              <w:widowControl w:val="0"/>
              <w:numPr>
                <w:ilvl w:val="0"/>
                <w:numId w:val="12"/>
              </w:numPr>
              <w:autoSpaceDE w:val="0"/>
              <w:autoSpaceDN w:val="0"/>
              <w:adjustRightInd w:val="0"/>
              <w:spacing w:after="60"/>
              <w:rPr>
                <w:rFonts w:ascii="Cambria" w:hAnsi="Cambria"/>
                <w:color w:val="002060"/>
                <w:sz w:val="20"/>
                <w:szCs w:val="20"/>
                <w:lang w:val="en-GB"/>
              </w:rPr>
            </w:pPr>
            <w:r w:rsidRPr="00B94A3E">
              <w:rPr>
                <w:rFonts w:ascii="Cambria" w:hAnsi="Cambria"/>
                <w:color w:val="244061" w:themeColor="accent1" w:themeShade="80"/>
                <w:lang w:val="en-GB"/>
              </w:rPr>
              <w:t xml:space="preserve">Showing social, professional and ethical responsibility and sensitivity to gender issues </w:t>
            </w: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Default="00CF537E" w:rsidP="001B6432">
            <w:pPr>
              <w:rPr>
                <w:rFonts w:asciiTheme="minorHAnsi" w:hAnsiTheme="minorHAnsi"/>
                <w:color w:val="000000"/>
                <w:sz w:val="22"/>
                <w:szCs w:val="22"/>
              </w:rPr>
            </w:pPr>
          </w:p>
          <w:p w14:paraId="2026E18E" w14:textId="77777777" w:rsidR="000367E0" w:rsidRPr="00B94A3E" w:rsidRDefault="000367E0" w:rsidP="000367E0">
            <w:pPr>
              <w:spacing w:line="360" w:lineRule="auto"/>
              <w:jc w:val="both"/>
              <w:rPr>
                <w:rFonts w:ascii="Cambria" w:hAnsi="Cambria" w:cs="Arial"/>
                <w:color w:val="244061" w:themeColor="accent1" w:themeShade="80"/>
                <w:sz w:val="22"/>
                <w:lang w:eastAsia="el-GR"/>
              </w:rPr>
            </w:pPr>
            <w:r w:rsidRPr="00B94A3E">
              <w:rPr>
                <w:rFonts w:ascii="Cambria" w:hAnsi="Cambria" w:cs="Arial"/>
                <w:color w:val="244061" w:themeColor="accent1" w:themeShade="80"/>
                <w:sz w:val="22"/>
                <w:lang w:eastAsia="el-GR"/>
              </w:rPr>
              <w:t xml:space="preserve">Most common monogenic disorders in clinical practice. </w:t>
            </w:r>
          </w:p>
          <w:p w14:paraId="3DF70821" w14:textId="67B315CD" w:rsidR="00CB449F" w:rsidRPr="00B94A3E" w:rsidRDefault="00CB449F" w:rsidP="000367E0">
            <w:pPr>
              <w:spacing w:line="360" w:lineRule="auto"/>
              <w:jc w:val="both"/>
              <w:rPr>
                <w:rFonts w:ascii="Cambria" w:hAnsi="Cambria" w:cs="Arial"/>
                <w:color w:val="244061" w:themeColor="accent1" w:themeShade="80"/>
                <w:sz w:val="22"/>
                <w:lang w:eastAsia="el-GR"/>
              </w:rPr>
            </w:pPr>
            <w:r w:rsidRPr="00B94A3E">
              <w:rPr>
                <w:rFonts w:ascii="Cambria" w:hAnsi="Cambria" w:cs="Arial"/>
                <w:color w:val="244061" w:themeColor="accent1" w:themeShade="80"/>
                <w:sz w:val="22"/>
                <w:lang w:eastAsia="el-GR"/>
              </w:rPr>
              <w:t>Genetic family history / family pedigree - symbols</w:t>
            </w:r>
          </w:p>
          <w:p w14:paraId="0EA7C46E" w14:textId="77777777" w:rsidR="000367E0" w:rsidRPr="00B94A3E" w:rsidRDefault="000367E0" w:rsidP="000367E0">
            <w:pPr>
              <w:spacing w:line="360" w:lineRule="auto"/>
              <w:jc w:val="both"/>
              <w:rPr>
                <w:rFonts w:ascii="Cambria" w:hAnsi="Cambria" w:cs="Arial"/>
                <w:color w:val="244061" w:themeColor="accent1" w:themeShade="80"/>
                <w:sz w:val="22"/>
                <w:lang w:eastAsia="el-GR"/>
              </w:rPr>
            </w:pPr>
            <w:r w:rsidRPr="00B94A3E">
              <w:rPr>
                <w:rFonts w:ascii="Cambria" w:hAnsi="Cambria" w:cs="Arial"/>
                <w:color w:val="244061" w:themeColor="accent1" w:themeShade="80"/>
                <w:sz w:val="22"/>
                <w:lang w:eastAsia="el-GR"/>
              </w:rPr>
              <w:t xml:space="preserve">Common polygenic and complex disorders, patterns of inheritance and clinical manifestation. </w:t>
            </w:r>
          </w:p>
          <w:p w14:paraId="55275A25" w14:textId="77777777" w:rsidR="000367E0" w:rsidRPr="00B94A3E" w:rsidRDefault="000367E0" w:rsidP="000367E0">
            <w:pPr>
              <w:spacing w:line="360" w:lineRule="auto"/>
              <w:jc w:val="both"/>
              <w:rPr>
                <w:rFonts w:ascii="Cambria" w:hAnsi="Cambria" w:cs="Arial"/>
                <w:color w:val="244061" w:themeColor="accent1" w:themeShade="80"/>
                <w:sz w:val="22"/>
                <w:lang w:eastAsia="el-GR"/>
              </w:rPr>
            </w:pPr>
            <w:r w:rsidRPr="00B94A3E">
              <w:rPr>
                <w:rFonts w:ascii="Cambria" w:hAnsi="Cambria" w:cs="Arial"/>
                <w:color w:val="244061" w:themeColor="accent1" w:themeShade="80"/>
                <w:sz w:val="22"/>
                <w:lang w:eastAsia="el-GR"/>
              </w:rPr>
              <w:t xml:space="preserve">Chromosomal abnormalities in clinical practice. </w:t>
            </w:r>
          </w:p>
          <w:p w14:paraId="61BA2165"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Arial"/>
                <w:color w:val="244061" w:themeColor="accent1" w:themeShade="80"/>
                <w:sz w:val="22"/>
                <w:lang w:eastAsia="el-GR"/>
              </w:rPr>
              <w:t>Clinical and genetic history-clinical aspects of genetic counseling.</w:t>
            </w:r>
            <w:r w:rsidRPr="00B94A3E">
              <w:rPr>
                <w:rFonts w:ascii="Cambria" w:hAnsi="Cambria" w:cs="Comic Sans MS"/>
                <w:color w:val="244061" w:themeColor="accent1" w:themeShade="80"/>
                <w:sz w:val="22"/>
                <w:lang w:eastAsia="el-GR"/>
              </w:rPr>
              <w:t xml:space="preserve"> </w:t>
            </w:r>
          </w:p>
          <w:p w14:paraId="3CA0055F"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Comic Sans MS"/>
                <w:color w:val="244061" w:themeColor="accent1" w:themeShade="80"/>
                <w:sz w:val="22"/>
                <w:lang w:eastAsia="el-GR"/>
              </w:rPr>
              <w:t xml:space="preserve">Clinical disorders of sex development and differentiation. </w:t>
            </w:r>
          </w:p>
          <w:p w14:paraId="61FAD3A5"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Comic Sans MS"/>
                <w:color w:val="244061" w:themeColor="accent1" w:themeShade="80"/>
                <w:sz w:val="22"/>
                <w:lang w:eastAsia="el-GR"/>
              </w:rPr>
              <w:t xml:space="preserve">Clinical genetics and investigation of pregnancy loss.  </w:t>
            </w:r>
          </w:p>
          <w:p w14:paraId="6E963B61"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Comic Sans MS"/>
                <w:color w:val="244061" w:themeColor="accent1" w:themeShade="80"/>
                <w:sz w:val="22"/>
                <w:lang w:eastAsia="el-GR"/>
              </w:rPr>
              <w:t xml:space="preserve">Clinical genetics and assisted reproduction. </w:t>
            </w:r>
          </w:p>
          <w:p w14:paraId="1470DB4C"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Comic Sans MS"/>
                <w:color w:val="244061" w:themeColor="accent1" w:themeShade="80"/>
                <w:sz w:val="22"/>
                <w:lang w:eastAsia="el-GR"/>
              </w:rPr>
              <w:t>Prenatal diagnosis</w:t>
            </w:r>
          </w:p>
          <w:p w14:paraId="4899AB2E" w14:textId="77777777" w:rsidR="000367E0" w:rsidRPr="00B94A3E" w:rsidRDefault="000367E0" w:rsidP="000367E0">
            <w:pPr>
              <w:spacing w:line="360" w:lineRule="auto"/>
              <w:jc w:val="both"/>
              <w:rPr>
                <w:rFonts w:ascii="Cambria" w:hAnsi="Cambria" w:cs="Comic Sans MS"/>
                <w:color w:val="244061" w:themeColor="accent1" w:themeShade="80"/>
                <w:sz w:val="22"/>
                <w:lang w:eastAsia="el-GR"/>
              </w:rPr>
            </w:pPr>
            <w:r w:rsidRPr="00B94A3E">
              <w:rPr>
                <w:rFonts w:ascii="Cambria" w:hAnsi="Cambria" w:cs="Comic Sans MS"/>
                <w:color w:val="244061" w:themeColor="accent1" w:themeShade="80"/>
                <w:sz w:val="22"/>
                <w:lang w:eastAsia="el-GR"/>
              </w:rPr>
              <w:t xml:space="preserve">Biochemical markers of fetal abnormalities in maternal blood and ultrasound evaluation of congenital abnormalities. </w:t>
            </w:r>
          </w:p>
          <w:p w14:paraId="4A48E2DF" w14:textId="77777777" w:rsidR="000367E0" w:rsidRPr="00B94A3E" w:rsidRDefault="000367E0" w:rsidP="000367E0">
            <w:pPr>
              <w:spacing w:line="360" w:lineRule="auto"/>
              <w:jc w:val="both"/>
              <w:rPr>
                <w:rFonts w:ascii="Cambria" w:hAnsi="Cambria" w:cs="Comic Sans MS"/>
                <w:color w:val="244061" w:themeColor="accent1" w:themeShade="80"/>
                <w:sz w:val="22"/>
                <w:lang w:val="fr-FR" w:eastAsia="el-GR"/>
              </w:rPr>
            </w:pPr>
            <w:r w:rsidRPr="00B94A3E">
              <w:rPr>
                <w:rFonts w:ascii="Cambria" w:hAnsi="Cambria" w:cs="Comic Sans MS"/>
                <w:color w:val="244061" w:themeColor="accent1" w:themeShade="80"/>
                <w:sz w:val="22"/>
                <w:lang w:val="fr-FR" w:eastAsia="el-GR"/>
              </w:rPr>
              <w:t xml:space="preserve">Non-invasive </w:t>
            </w:r>
            <w:proofErr w:type="spellStart"/>
            <w:r w:rsidRPr="00B94A3E">
              <w:rPr>
                <w:rFonts w:ascii="Cambria" w:hAnsi="Cambria" w:cs="Comic Sans MS"/>
                <w:color w:val="244061" w:themeColor="accent1" w:themeShade="80"/>
                <w:sz w:val="22"/>
                <w:lang w:val="fr-FR" w:eastAsia="el-GR"/>
              </w:rPr>
              <w:t>prenatal</w:t>
            </w:r>
            <w:proofErr w:type="spellEnd"/>
            <w:r w:rsidRPr="00B94A3E">
              <w:rPr>
                <w:rFonts w:ascii="Cambria" w:hAnsi="Cambria" w:cs="Comic Sans MS"/>
                <w:color w:val="244061" w:themeColor="accent1" w:themeShade="80"/>
                <w:sz w:val="22"/>
                <w:lang w:val="fr-FR" w:eastAsia="el-GR"/>
              </w:rPr>
              <w:t xml:space="preserve"> </w:t>
            </w:r>
            <w:proofErr w:type="spellStart"/>
            <w:r w:rsidRPr="00B94A3E">
              <w:rPr>
                <w:rFonts w:ascii="Cambria" w:hAnsi="Cambria" w:cs="Comic Sans MS"/>
                <w:color w:val="244061" w:themeColor="accent1" w:themeShade="80"/>
                <w:sz w:val="22"/>
                <w:lang w:val="fr-FR" w:eastAsia="el-GR"/>
              </w:rPr>
              <w:t>diagnosis-clinical</w:t>
            </w:r>
            <w:proofErr w:type="spellEnd"/>
            <w:r w:rsidRPr="00B94A3E">
              <w:rPr>
                <w:rFonts w:ascii="Cambria" w:hAnsi="Cambria" w:cs="Comic Sans MS"/>
                <w:color w:val="244061" w:themeColor="accent1" w:themeShade="80"/>
                <w:sz w:val="22"/>
                <w:lang w:val="fr-FR" w:eastAsia="el-GR"/>
              </w:rPr>
              <w:t xml:space="preserve"> application. </w:t>
            </w:r>
          </w:p>
          <w:p w14:paraId="067B46EF" w14:textId="583322D6" w:rsidR="00D21E0C" w:rsidRPr="0097115A" w:rsidRDefault="000367E0" w:rsidP="00BF7CFD">
            <w:pPr>
              <w:spacing w:line="360" w:lineRule="auto"/>
              <w:jc w:val="both"/>
              <w:rPr>
                <w:lang w:val="el-GR"/>
              </w:rPr>
            </w:pPr>
            <w:r w:rsidRPr="00B94A3E">
              <w:rPr>
                <w:rFonts w:ascii="Cambria" w:hAnsi="Cambria" w:cs="Comic Sans MS"/>
                <w:color w:val="244061" w:themeColor="accent1" w:themeShade="80"/>
                <w:sz w:val="22"/>
                <w:lang w:eastAsia="el-GR"/>
              </w:rPr>
              <w:t xml:space="preserve">Clinical genetic databases in genetic counseling.  </w:t>
            </w:r>
          </w:p>
        </w:tc>
      </w:tr>
    </w:tbl>
    <w:p w14:paraId="05719DFE"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35A00F" w14:textId="77777777" w:rsidR="00B069A3" w:rsidRPr="00B94A3E" w:rsidRDefault="00B069A3" w:rsidP="00704116">
            <w:pPr>
              <w:spacing w:after="200" w:line="276" w:lineRule="auto"/>
              <w:rPr>
                <w:rFonts w:asciiTheme="majorHAnsi" w:hAnsiTheme="majorHAnsi"/>
                <w:color w:val="244061" w:themeColor="accent1" w:themeShade="80"/>
                <w:sz w:val="20"/>
                <w:szCs w:val="20"/>
              </w:rPr>
            </w:pPr>
            <w:r w:rsidRPr="00B94A3E">
              <w:rPr>
                <w:rFonts w:asciiTheme="majorHAnsi" w:hAnsiTheme="majorHAnsi"/>
                <w:color w:val="244061" w:themeColor="accent1" w:themeShade="80"/>
                <w:sz w:val="20"/>
                <w:szCs w:val="20"/>
              </w:rPr>
              <w:t>Lectures in the auditorium/hall</w:t>
            </w:r>
          </w:p>
          <w:p w14:paraId="797AB986" w14:textId="06A133C2" w:rsidR="001B6432" w:rsidRPr="00C80BDF" w:rsidRDefault="00B069A3" w:rsidP="00BF7CFD">
            <w:pPr>
              <w:spacing w:after="200" w:line="276" w:lineRule="auto"/>
              <w:rPr>
                <w:rFonts w:asciiTheme="majorHAnsi" w:hAnsiTheme="majorHAnsi"/>
                <w:sz w:val="20"/>
                <w:szCs w:val="20"/>
              </w:rPr>
            </w:pPr>
            <w:r w:rsidRPr="00B94A3E">
              <w:rPr>
                <w:rFonts w:asciiTheme="majorHAnsi" w:hAnsiTheme="majorHAnsi"/>
                <w:color w:val="244061" w:themeColor="accent1" w:themeShade="80"/>
                <w:sz w:val="20"/>
                <w:szCs w:val="20"/>
              </w:rPr>
              <w:t>face to face</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7777777" w:rsidR="005D23EB" w:rsidRDefault="005D23EB" w:rsidP="00C80BDF">
            <w:pPr>
              <w:jc w:val="both"/>
              <w:rPr>
                <w:rFonts w:asciiTheme="majorHAnsi" w:hAnsiTheme="majorHAnsi" w:cs="Arial"/>
                <w:color w:val="002060"/>
                <w:sz w:val="20"/>
                <w:szCs w:val="20"/>
                <w:lang w:val="en-GB"/>
              </w:rPr>
            </w:pPr>
          </w:p>
          <w:p w14:paraId="7BD5F9F7" w14:textId="239D72E7" w:rsidR="00B069A3" w:rsidRPr="00B94A3E" w:rsidRDefault="00B94A3E" w:rsidP="00B94A3E">
            <w:pPr>
              <w:jc w:val="both"/>
              <w:rPr>
                <w:rFonts w:asciiTheme="majorHAnsi" w:hAnsiTheme="majorHAnsi" w:cs="Arial"/>
                <w:color w:val="1F497D" w:themeColor="text2"/>
                <w:sz w:val="20"/>
                <w:szCs w:val="20"/>
              </w:rPr>
            </w:pPr>
            <w:r>
              <w:rPr>
                <w:rFonts w:asciiTheme="majorHAnsi" w:hAnsiTheme="majorHAnsi" w:cs="Arial"/>
                <w:color w:val="1F497D" w:themeColor="text2"/>
                <w:sz w:val="20"/>
                <w:szCs w:val="20"/>
              </w:rPr>
              <w:t xml:space="preserve"> -      </w:t>
            </w:r>
            <w:r w:rsidR="00B069A3" w:rsidRPr="00B94A3E">
              <w:rPr>
                <w:rFonts w:asciiTheme="majorHAnsi" w:hAnsiTheme="majorHAnsi" w:cs="Arial"/>
                <w:color w:val="1F497D" w:themeColor="text2"/>
                <w:sz w:val="20"/>
                <w:szCs w:val="20"/>
              </w:rPr>
              <w:t xml:space="preserve">Use of ICT in teaching, </w:t>
            </w:r>
            <w:r w:rsidR="00847CE1" w:rsidRPr="00B94A3E">
              <w:rPr>
                <w:rFonts w:asciiTheme="majorHAnsi" w:hAnsiTheme="majorHAnsi" w:cs="Arial"/>
                <w:color w:val="1F497D" w:themeColor="text2"/>
                <w:sz w:val="20"/>
                <w:szCs w:val="20"/>
              </w:rPr>
              <w:t>PowerP</w:t>
            </w:r>
            <w:r w:rsidR="00B069A3" w:rsidRPr="00B94A3E">
              <w:rPr>
                <w:rFonts w:asciiTheme="majorHAnsi" w:hAnsiTheme="majorHAnsi" w:cs="Arial"/>
                <w:color w:val="1F497D" w:themeColor="text2"/>
                <w:sz w:val="20"/>
                <w:szCs w:val="20"/>
              </w:rPr>
              <w:t xml:space="preserve">oint </w:t>
            </w:r>
            <w:proofErr w:type="spellStart"/>
            <w:r w:rsidR="00B069A3" w:rsidRPr="00B94A3E">
              <w:rPr>
                <w:rFonts w:asciiTheme="majorHAnsi" w:hAnsiTheme="majorHAnsi" w:cs="Arial"/>
                <w:color w:val="1F497D" w:themeColor="text2"/>
                <w:sz w:val="20"/>
                <w:szCs w:val="20"/>
              </w:rPr>
              <w:t>presentations</w:t>
            </w:r>
            <w:proofErr w:type="spellEnd"/>
          </w:p>
          <w:p w14:paraId="02F36EB2" w14:textId="39360C92" w:rsidR="00B069A3" w:rsidRPr="00057D00" w:rsidRDefault="00B069A3" w:rsidP="009F3E8D">
            <w:pPr>
              <w:pStyle w:val="ab"/>
              <w:numPr>
                <w:ilvl w:val="0"/>
                <w:numId w:val="13"/>
              </w:numPr>
              <w:ind w:left="405"/>
              <w:jc w:val="both"/>
              <w:rPr>
                <w:rFonts w:asciiTheme="majorHAnsi" w:hAnsiTheme="majorHAnsi" w:cs="Arial"/>
                <w:color w:val="1F497D" w:themeColor="text2"/>
                <w:sz w:val="20"/>
                <w:szCs w:val="20"/>
              </w:rPr>
            </w:pPr>
            <w:proofErr w:type="spellStart"/>
            <w:r w:rsidRPr="00057D00">
              <w:rPr>
                <w:rFonts w:asciiTheme="majorHAnsi" w:hAnsiTheme="majorHAnsi" w:cs="Arial"/>
                <w:color w:val="1F497D" w:themeColor="text2"/>
                <w:sz w:val="20"/>
                <w:szCs w:val="20"/>
              </w:rPr>
              <w:t>Use</w:t>
            </w:r>
            <w:proofErr w:type="spellEnd"/>
            <w:r w:rsidRPr="00057D00">
              <w:rPr>
                <w:rFonts w:asciiTheme="majorHAnsi" w:hAnsiTheme="majorHAnsi" w:cs="Arial"/>
                <w:color w:val="1F497D" w:themeColor="text2"/>
                <w:sz w:val="20"/>
                <w:szCs w:val="20"/>
              </w:rPr>
              <w:t xml:space="preserve"> of </w:t>
            </w:r>
            <w:proofErr w:type="spellStart"/>
            <w:r w:rsidRPr="00057D00">
              <w:rPr>
                <w:rFonts w:asciiTheme="majorHAnsi" w:hAnsiTheme="majorHAnsi" w:cs="Arial"/>
                <w:color w:val="1F497D" w:themeColor="text2"/>
                <w:sz w:val="20"/>
                <w:szCs w:val="20"/>
              </w:rPr>
              <w:t>literature</w:t>
            </w:r>
            <w:proofErr w:type="spellEnd"/>
            <w:r w:rsidRPr="00057D00">
              <w:rPr>
                <w:rFonts w:asciiTheme="majorHAnsi" w:hAnsiTheme="majorHAnsi" w:cs="Arial"/>
                <w:color w:val="1F497D" w:themeColor="text2"/>
                <w:sz w:val="20"/>
                <w:szCs w:val="20"/>
              </w:rPr>
              <w:t xml:space="preserve"> </w:t>
            </w:r>
            <w:proofErr w:type="spellStart"/>
            <w:r w:rsidRPr="00057D00">
              <w:rPr>
                <w:rFonts w:asciiTheme="majorHAnsi" w:hAnsiTheme="majorHAnsi" w:cs="Arial"/>
                <w:color w:val="1F497D" w:themeColor="text2"/>
                <w:sz w:val="20"/>
                <w:szCs w:val="20"/>
              </w:rPr>
              <w:t>search</w:t>
            </w:r>
            <w:proofErr w:type="spellEnd"/>
            <w:r w:rsidRPr="00057D00">
              <w:rPr>
                <w:rFonts w:asciiTheme="majorHAnsi" w:hAnsiTheme="majorHAnsi" w:cs="Arial"/>
                <w:color w:val="1F497D" w:themeColor="text2"/>
                <w:sz w:val="20"/>
                <w:szCs w:val="20"/>
              </w:rPr>
              <w:t xml:space="preserve"> engines HEALLINK, PUBMED, SCOPUS, </w:t>
            </w:r>
            <w:proofErr w:type="spellStart"/>
            <w:r w:rsidRPr="00057D00">
              <w:rPr>
                <w:rFonts w:asciiTheme="majorHAnsi" w:hAnsiTheme="majorHAnsi" w:cs="Arial"/>
                <w:color w:val="1F497D" w:themeColor="text2"/>
                <w:sz w:val="20"/>
                <w:szCs w:val="20"/>
              </w:rPr>
              <w:t>Medline</w:t>
            </w:r>
            <w:proofErr w:type="spellEnd"/>
            <w:r w:rsidRPr="00057D00">
              <w:rPr>
                <w:rFonts w:asciiTheme="majorHAnsi" w:hAnsiTheme="majorHAnsi" w:cs="Arial"/>
                <w:color w:val="1F497D" w:themeColor="text2"/>
                <w:sz w:val="20"/>
                <w:szCs w:val="20"/>
              </w:rPr>
              <w:t>, GOOGLE SCHOLAR</w:t>
            </w:r>
            <w:r w:rsidR="00847CE1" w:rsidRPr="00057D00">
              <w:rPr>
                <w:rFonts w:asciiTheme="majorHAnsi" w:hAnsiTheme="majorHAnsi" w:cs="Arial"/>
                <w:color w:val="1F497D" w:themeColor="text2"/>
                <w:sz w:val="20"/>
                <w:szCs w:val="20"/>
              </w:rPr>
              <w:t>,</w:t>
            </w:r>
            <w:r w:rsidRPr="00057D00">
              <w:rPr>
                <w:rFonts w:asciiTheme="majorHAnsi" w:hAnsiTheme="majorHAnsi" w:cs="Arial"/>
                <w:color w:val="1F497D" w:themeColor="text2"/>
                <w:sz w:val="20"/>
                <w:szCs w:val="20"/>
              </w:rPr>
              <w:t xml:space="preserve"> and </w:t>
            </w:r>
            <w:proofErr w:type="spellStart"/>
            <w:r w:rsidRPr="00057D00">
              <w:rPr>
                <w:rFonts w:asciiTheme="majorHAnsi" w:hAnsiTheme="majorHAnsi" w:cs="Arial"/>
                <w:color w:val="1F497D" w:themeColor="text2"/>
                <w:sz w:val="20"/>
                <w:szCs w:val="20"/>
              </w:rPr>
              <w:t>Databases</w:t>
            </w:r>
            <w:proofErr w:type="spellEnd"/>
            <w:r w:rsidRPr="00057D00">
              <w:rPr>
                <w:rFonts w:asciiTheme="majorHAnsi" w:hAnsiTheme="majorHAnsi" w:cs="Arial"/>
                <w:color w:val="1F497D" w:themeColor="text2"/>
                <w:sz w:val="20"/>
                <w:szCs w:val="20"/>
              </w:rPr>
              <w:t xml:space="preserve"> – </w:t>
            </w:r>
            <w:proofErr w:type="spellStart"/>
            <w:r w:rsidRPr="00057D00">
              <w:rPr>
                <w:rFonts w:asciiTheme="majorHAnsi" w:hAnsiTheme="majorHAnsi" w:cs="Arial"/>
                <w:color w:val="1F497D" w:themeColor="text2"/>
                <w:sz w:val="20"/>
                <w:szCs w:val="20"/>
              </w:rPr>
              <w:t>genetic</w:t>
            </w:r>
            <w:proofErr w:type="spellEnd"/>
            <w:r w:rsidRPr="00057D00">
              <w:rPr>
                <w:rFonts w:asciiTheme="majorHAnsi" w:hAnsiTheme="majorHAnsi" w:cs="Arial"/>
                <w:color w:val="1F497D" w:themeColor="text2"/>
                <w:sz w:val="20"/>
                <w:szCs w:val="20"/>
              </w:rPr>
              <w:t xml:space="preserve"> </w:t>
            </w:r>
            <w:proofErr w:type="spellStart"/>
            <w:r w:rsidRPr="00057D00">
              <w:rPr>
                <w:rFonts w:asciiTheme="majorHAnsi" w:hAnsiTheme="majorHAnsi" w:cs="Arial"/>
                <w:color w:val="1F497D" w:themeColor="text2"/>
                <w:sz w:val="20"/>
                <w:szCs w:val="20"/>
              </w:rPr>
              <w:t>information</w:t>
            </w:r>
            <w:proofErr w:type="spellEnd"/>
            <w:r w:rsidRPr="00057D00">
              <w:rPr>
                <w:rFonts w:asciiTheme="majorHAnsi" w:hAnsiTheme="majorHAnsi" w:cs="Arial"/>
                <w:color w:val="1F497D" w:themeColor="text2"/>
                <w:sz w:val="20"/>
                <w:szCs w:val="20"/>
              </w:rPr>
              <w:t xml:space="preserve"> </w:t>
            </w:r>
            <w:proofErr w:type="spellStart"/>
            <w:r w:rsidRPr="00057D00">
              <w:rPr>
                <w:rFonts w:asciiTheme="majorHAnsi" w:hAnsiTheme="majorHAnsi" w:cs="Arial"/>
                <w:color w:val="1F497D" w:themeColor="text2"/>
                <w:sz w:val="20"/>
                <w:szCs w:val="20"/>
              </w:rPr>
              <w:t>analysis</w:t>
            </w:r>
            <w:proofErr w:type="spellEnd"/>
            <w:r w:rsidRPr="00057D00">
              <w:rPr>
                <w:rFonts w:asciiTheme="majorHAnsi" w:hAnsiTheme="majorHAnsi" w:cs="Arial"/>
                <w:color w:val="1F497D" w:themeColor="text2"/>
                <w:sz w:val="20"/>
                <w:szCs w:val="20"/>
              </w:rPr>
              <w:t xml:space="preserve"> </w:t>
            </w:r>
            <w:proofErr w:type="spellStart"/>
            <w:r w:rsidRPr="00057D00">
              <w:rPr>
                <w:rFonts w:asciiTheme="majorHAnsi" w:hAnsiTheme="majorHAnsi" w:cs="Arial"/>
                <w:color w:val="1F497D" w:themeColor="text2"/>
                <w:sz w:val="20"/>
                <w:szCs w:val="20"/>
              </w:rPr>
              <w:t>tools</w:t>
            </w:r>
            <w:proofErr w:type="spellEnd"/>
          </w:p>
          <w:p w14:paraId="42B825A0" w14:textId="4D367A85" w:rsidR="001B6432" w:rsidRPr="00C80BDF" w:rsidRDefault="009F3E8D" w:rsidP="00BF7CFD">
            <w:pPr>
              <w:pStyle w:val="ab"/>
              <w:numPr>
                <w:ilvl w:val="0"/>
                <w:numId w:val="13"/>
              </w:numPr>
              <w:ind w:left="405"/>
              <w:jc w:val="both"/>
              <w:rPr>
                <w:rFonts w:asciiTheme="majorHAnsi" w:hAnsiTheme="majorHAnsi" w:cs="Arial"/>
                <w:color w:val="002060"/>
                <w:sz w:val="20"/>
                <w:szCs w:val="20"/>
                <w:lang w:val="en-GB"/>
              </w:rPr>
            </w:pPr>
            <w:proofErr w:type="spellStart"/>
            <w:r w:rsidRPr="00BF7CFD">
              <w:rPr>
                <w:rFonts w:asciiTheme="majorHAnsi" w:hAnsiTheme="majorHAnsi" w:cs="Arial"/>
                <w:color w:val="1F497D" w:themeColor="text2"/>
                <w:sz w:val="20"/>
                <w:szCs w:val="20"/>
              </w:rPr>
              <w:t>Use</w:t>
            </w:r>
            <w:proofErr w:type="spellEnd"/>
            <w:r w:rsidRPr="00BF7CFD">
              <w:rPr>
                <w:rFonts w:asciiTheme="majorHAnsi" w:hAnsiTheme="majorHAnsi" w:cs="Arial"/>
                <w:color w:val="1F497D" w:themeColor="text2"/>
                <w:sz w:val="20"/>
                <w:szCs w:val="20"/>
              </w:rPr>
              <w:t xml:space="preserve"> of the e-</w:t>
            </w:r>
            <w:proofErr w:type="spellStart"/>
            <w:r w:rsidRPr="00BF7CFD">
              <w:rPr>
                <w:rFonts w:asciiTheme="majorHAnsi" w:hAnsiTheme="majorHAnsi" w:cs="Arial"/>
                <w:color w:val="1F497D" w:themeColor="text2"/>
                <w:sz w:val="20"/>
                <w:szCs w:val="20"/>
              </w:rPr>
              <w:t>course</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platform</w:t>
            </w:r>
            <w:proofErr w:type="spellEnd"/>
            <w:r w:rsidRPr="00BF7CFD">
              <w:rPr>
                <w:rFonts w:asciiTheme="majorHAnsi" w:hAnsiTheme="majorHAnsi" w:cs="Arial"/>
                <w:color w:val="1F497D" w:themeColor="text2"/>
                <w:sz w:val="20"/>
                <w:szCs w:val="20"/>
              </w:rPr>
              <w:t xml:space="preserve"> </w:t>
            </w:r>
            <w:r w:rsidRPr="00BF7CFD">
              <w:rPr>
                <w:rFonts w:asciiTheme="majorHAnsi" w:hAnsiTheme="majorHAnsi" w:cs="Arial"/>
                <w:color w:val="1F497D" w:themeColor="text2"/>
                <w:sz w:val="20"/>
                <w:szCs w:val="20"/>
                <w:lang w:val="en-US"/>
              </w:rPr>
              <w:t xml:space="preserve">for </w:t>
            </w:r>
            <w:proofErr w:type="spellStart"/>
            <w:r w:rsidRPr="00BF7CFD">
              <w:rPr>
                <w:rFonts w:asciiTheme="majorHAnsi" w:hAnsiTheme="majorHAnsi" w:cs="Arial"/>
                <w:color w:val="1F497D" w:themeColor="text2"/>
                <w:sz w:val="20"/>
                <w:szCs w:val="20"/>
              </w:rPr>
              <w:t>communicat</w:t>
            </w:r>
            <w:proofErr w:type="spellEnd"/>
            <w:r w:rsidRPr="00BF7CFD">
              <w:rPr>
                <w:rFonts w:asciiTheme="majorHAnsi" w:hAnsiTheme="majorHAnsi" w:cs="Arial"/>
                <w:color w:val="1F497D" w:themeColor="text2"/>
                <w:sz w:val="20"/>
                <w:szCs w:val="20"/>
                <w:lang w:val="en-US"/>
              </w:rPr>
              <w:t>ion</w:t>
            </w:r>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with</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students</w:t>
            </w:r>
            <w:proofErr w:type="spellEnd"/>
            <w:r w:rsidRPr="00BF7CFD">
              <w:rPr>
                <w:rFonts w:asciiTheme="majorHAnsi" w:hAnsiTheme="majorHAnsi" w:cs="Arial"/>
                <w:color w:val="1F497D" w:themeColor="text2"/>
                <w:sz w:val="20"/>
                <w:szCs w:val="20"/>
              </w:rPr>
              <w:t xml:space="preserve">, </w:t>
            </w:r>
            <w:r w:rsidRPr="00BF7CFD">
              <w:rPr>
                <w:rFonts w:asciiTheme="majorHAnsi" w:hAnsiTheme="majorHAnsi" w:cs="Arial"/>
                <w:color w:val="1F497D" w:themeColor="text2"/>
                <w:sz w:val="20"/>
                <w:szCs w:val="20"/>
                <w:lang w:val="en-US"/>
              </w:rPr>
              <w:t xml:space="preserve">and for </w:t>
            </w:r>
            <w:r w:rsidRPr="00BF7CFD">
              <w:rPr>
                <w:rFonts w:asciiTheme="majorHAnsi" w:hAnsiTheme="majorHAnsi" w:cs="Arial"/>
                <w:color w:val="1F497D" w:themeColor="text2"/>
                <w:sz w:val="20"/>
                <w:szCs w:val="20"/>
              </w:rPr>
              <w:t>post</w:t>
            </w:r>
            <w:proofErr w:type="spellStart"/>
            <w:r w:rsidRPr="00BF7CFD">
              <w:rPr>
                <w:rFonts w:asciiTheme="majorHAnsi" w:hAnsiTheme="majorHAnsi" w:cs="Arial"/>
                <w:color w:val="1F497D" w:themeColor="text2"/>
                <w:sz w:val="20"/>
                <w:szCs w:val="20"/>
                <w:lang w:val="en-US"/>
              </w:rPr>
              <w:t>ing</w:t>
            </w:r>
            <w:proofErr w:type="spellEnd"/>
            <w:r w:rsidRPr="00BF7CFD">
              <w:rPr>
                <w:rFonts w:asciiTheme="majorHAnsi" w:hAnsiTheme="majorHAnsi" w:cs="Arial"/>
                <w:color w:val="1F497D" w:themeColor="text2"/>
                <w:sz w:val="20"/>
                <w:szCs w:val="20"/>
                <w:lang w:val="en-US"/>
              </w:rPr>
              <w:t xml:space="preserve"> </w:t>
            </w:r>
            <w:proofErr w:type="spellStart"/>
            <w:r w:rsidRPr="00BF7CFD">
              <w:rPr>
                <w:rFonts w:asciiTheme="majorHAnsi" w:hAnsiTheme="majorHAnsi" w:cs="Arial"/>
                <w:color w:val="1F497D" w:themeColor="text2"/>
                <w:sz w:val="20"/>
                <w:szCs w:val="20"/>
              </w:rPr>
              <w:t>lectures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scientific</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articles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instructions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useful</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links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evaluation</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questionnaires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information</w:t>
            </w:r>
            <w:proofErr w:type="spellEnd"/>
            <w:r w:rsidRPr="00BF7CFD">
              <w:rPr>
                <w:rFonts w:asciiTheme="majorHAnsi" w:hAnsiTheme="majorHAnsi" w:cs="Arial"/>
                <w:color w:val="1F497D" w:themeColor="text2"/>
                <w:sz w:val="20"/>
                <w:szCs w:val="20"/>
              </w:rPr>
              <w:t xml:space="preserve"> on </w:t>
            </w:r>
            <w:proofErr w:type="spellStart"/>
            <w:r w:rsidRPr="00BF7CFD">
              <w:rPr>
                <w:rFonts w:asciiTheme="majorHAnsi" w:hAnsiTheme="majorHAnsi" w:cs="Arial"/>
                <w:color w:val="1F497D" w:themeColor="text2"/>
                <w:sz w:val="20"/>
                <w:szCs w:val="20"/>
              </w:rPr>
              <w:t>attending</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conferences</w:t>
            </w:r>
            <w:proofErr w:type="spellEnd"/>
            <w:r w:rsidRPr="00BF7CFD">
              <w:rPr>
                <w:rFonts w:asciiTheme="majorHAnsi" w:hAnsiTheme="majorHAnsi" w:cs="Arial"/>
                <w:color w:val="1F497D" w:themeColor="text2"/>
                <w:sz w:val="20"/>
                <w:szCs w:val="20"/>
              </w:rPr>
              <w:t xml:space="preserve"> and </w:t>
            </w:r>
            <w:proofErr w:type="spellStart"/>
            <w:r w:rsidRPr="00BF7CFD">
              <w:rPr>
                <w:rFonts w:asciiTheme="majorHAnsi" w:hAnsiTheme="majorHAnsi" w:cs="Arial"/>
                <w:color w:val="1F497D" w:themeColor="text2"/>
                <w:sz w:val="20"/>
                <w:szCs w:val="20"/>
              </w:rPr>
              <w:t>seminars</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related</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to</w:t>
            </w:r>
            <w:proofErr w:type="spellEnd"/>
            <w:r w:rsidRPr="00BF7CFD">
              <w:rPr>
                <w:rFonts w:asciiTheme="majorHAnsi" w:hAnsiTheme="majorHAnsi" w:cs="Arial"/>
                <w:color w:val="1F497D" w:themeColor="text2"/>
                <w:sz w:val="20"/>
                <w:szCs w:val="20"/>
              </w:rPr>
              <w:t xml:space="preserve"> the </w:t>
            </w:r>
            <w:proofErr w:type="spellStart"/>
            <w:r w:rsidRPr="00BF7CFD">
              <w:rPr>
                <w:rFonts w:asciiTheme="majorHAnsi" w:hAnsiTheme="majorHAnsi" w:cs="Arial"/>
                <w:color w:val="1F497D" w:themeColor="text2"/>
                <w:sz w:val="20"/>
                <w:szCs w:val="20"/>
              </w:rPr>
              <w:t>course</w:t>
            </w:r>
            <w:proofErr w:type="spellEnd"/>
            <w:r w:rsidRPr="00BF7CFD">
              <w:rPr>
                <w:rFonts w:asciiTheme="majorHAnsi" w:hAnsiTheme="majorHAnsi" w:cs="Arial"/>
                <w:color w:val="1F497D" w:themeColor="text2"/>
                <w:sz w:val="20"/>
                <w:szCs w:val="20"/>
              </w:rPr>
              <w:t xml:space="preserve">, </w:t>
            </w:r>
            <w:proofErr w:type="spellStart"/>
            <w:r w:rsidRPr="00BF7CFD">
              <w:rPr>
                <w:rFonts w:asciiTheme="majorHAnsi" w:hAnsiTheme="majorHAnsi" w:cs="Arial"/>
                <w:color w:val="1F497D" w:themeColor="text2"/>
                <w:sz w:val="20"/>
                <w:szCs w:val="20"/>
              </w:rPr>
              <w:t>etc</w:t>
            </w:r>
            <w:proofErr w:type="spellEnd"/>
            <w:r w:rsidRPr="00BF7CFD">
              <w:rPr>
                <w:rFonts w:asciiTheme="majorHAnsi" w:hAnsiTheme="majorHAnsi" w:cs="Arial"/>
                <w:color w:val="1F497D" w:themeColor="text2"/>
                <w:sz w:val="20"/>
                <w:szCs w:val="20"/>
              </w:rPr>
              <w:t>.</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A08C12C" w:rsidR="005D23EB" w:rsidRPr="00C80BDF" w:rsidRDefault="0031410C" w:rsidP="00C822F5">
                  <w:pPr>
                    <w:rPr>
                      <w:rFonts w:ascii="Cambria" w:hAnsi="Cambria"/>
                      <w:iCs/>
                      <w:color w:val="002060"/>
                      <w:sz w:val="20"/>
                      <w:lang w:val="en-GB"/>
                    </w:rPr>
                  </w:pPr>
                  <w:r w:rsidRPr="0031410C">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602D08DA" w:rsidR="005D23EB" w:rsidRPr="0031410C" w:rsidRDefault="0031410C" w:rsidP="00206BAF">
                  <w:pPr>
                    <w:jc w:val="center"/>
                    <w:rPr>
                      <w:rFonts w:ascii="Cambria" w:hAnsi="Cambria" w:cs="Arial"/>
                      <w:color w:val="002060"/>
                      <w:sz w:val="20"/>
                    </w:rPr>
                  </w:pPr>
                  <w:r>
                    <w:rPr>
                      <w:rFonts w:ascii="Cambria" w:hAnsi="Cambria" w:cs="Arial"/>
                      <w:color w:val="002060"/>
                      <w:sz w:val="20"/>
                    </w:rPr>
                    <w:t>26</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19B0CCCB" w:rsidR="00A1169E" w:rsidRPr="00C80BDF" w:rsidRDefault="00847CE1" w:rsidP="00C822F5">
                  <w:pPr>
                    <w:rPr>
                      <w:rFonts w:ascii="Cambria" w:hAnsi="Cambria"/>
                      <w:iCs/>
                      <w:color w:val="002060"/>
                      <w:sz w:val="20"/>
                      <w:lang w:val="de-DE"/>
                    </w:rPr>
                  </w:pPr>
                  <w:r w:rsidRPr="00847CE1">
                    <w:rPr>
                      <w:rFonts w:ascii="Cambria" w:hAnsi="Cambria"/>
                      <w:iCs/>
                      <w:color w:val="002060"/>
                      <w:sz w:val="20"/>
                      <w:lang w:val="de-DE"/>
                    </w:rPr>
                    <w:t xml:space="preserve">Tutorial </w:t>
                  </w:r>
                  <w:proofErr w:type="spellStart"/>
                  <w:r w:rsidRPr="00847CE1">
                    <w:rPr>
                      <w:rFonts w:ascii="Cambria" w:hAnsi="Cambria"/>
                      <w:iCs/>
                      <w:color w:val="002060"/>
                      <w:sz w:val="20"/>
                      <w:lang w:val="de-DE"/>
                    </w:rPr>
                    <w:t>exercises</w:t>
                  </w:r>
                  <w:proofErr w:type="spellEnd"/>
                </w:p>
              </w:tc>
              <w:tc>
                <w:tcPr>
                  <w:tcW w:w="2468" w:type="dxa"/>
                  <w:tcBorders>
                    <w:top w:val="single" w:sz="4" w:space="0" w:color="auto"/>
                    <w:left w:val="single" w:sz="4" w:space="0" w:color="auto"/>
                    <w:bottom w:val="single" w:sz="4" w:space="0" w:color="auto"/>
                    <w:right w:val="single" w:sz="4" w:space="0" w:color="auto"/>
                  </w:tcBorders>
                </w:tcPr>
                <w:p w14:paraId="2B14E3E0" w14:textId="7BC5E852" w:rsidR="00A1169E" w:rsidRPr="001B6432" w:rsidRDefault="0031410C" w:rsidP="00206BAF">
                  <w:pPr>
                    <w:jc w:val="center"/>
                    <w:rPr>
                      <w:rFonts w:ascii="Cambria" w:hAnsi="Cambria" w:cs="Arial"/>
                      <w:color w:val="002060"/>
                      <w:sz w:val="20"/>
                    </w:rPr>
                  </w:pPr>
                  <w:r>
                    <w:rPr>
                      <w:rFonts w:ascii="Cambria" w:hAnsi="Cambria" w:cs="Arial"/>
                      <w:color w:val="002060"/>
                      <w:sz w:val="20"/>
                    </w:rPr>
                    <w:t>10</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A365642" w:rsidR="005C2432" w:rsidRPr="00C80BDF" w:rsidRDefault="00847CE1" w:rsidP="005C2432">
                  <w:pPr>
                    <w:rPr>
                      <w:rFonts w:ascii="Cambria" w:hAnsi="Cambria"/>
                      <w:iCs/>
                      <w:color w:val="002060"/>
                      <w:sz w:val="20"/>
                      <w:lang w:val="en-GB"/>
                    </w:rPr>
                  </w:pPr>
                  <w:r w:rsidRPr="00847CE1">
                    <w:rPr>
                      <w:rFonts w:ascii="Cambria" w:hAnsi="Cambria"/>
                      <w:iCs/>
                      <w:color w:val="002060"/>
                      <w:sz w:val="20"/>
                      <w:lang w:val="en-GB"/>
                    </w:rPr>
                    <w:t>Study preparation and literature analysis</w:t>
                  </w:r>
                </w:p>
              </w:tc>
              <w:tc>
                <w:tcPr>
                  <w:tcW w:w="2468" w:type="dxa"/>
                  <w:tcBorders>
                    <w:top w:val="single" w:sz="4" w:space="0" w:color="auto"/>
                    <w:left w:val="single" w:sz="4" w:space="0" w:color="auto"/>
                    <w:bottom w:val="single" w:sz="4" w:space="0" w:color="auto"/>
                    <w:right w:val="single" w:sz="4" w:space="0" w:color="auto"/>
                  </w:tcBorders>
                </w:tcPr>
                <w:p w14:paraId="08ECB1DD" w14:textId="77777777" w:rsidR="005C2432" w:rsidRDefault="0031410C" w:rsidP="005C2432">
                  <w:pPr>
                    <w:jc w:val="center"/>
                    <w:rPr>
                      <w:rFonts w:ascii="Cambria" w:hAnsi="Cambria" w:cs="Arial"/>
                      <w:color w:val="002060"/>
                      <w:sz w:val="20"/>
                    </w:rPr>
                  </w:pPr>
                  <w:r>
                    <w:rPr>
                      <w:rFonts w:ascii="Cambria" w:hAnsi="Cambria" w:cs="Arial"/>
                      <w:color w:val="002060"/>
                      <w:sz w:val="20"/>
                    </w:rPr>
                    <w:t>20</w:t>
                  </w:r>
                </w:p>
                <w:p w14:paraId="4A3AF302" w14:textId="13D2D267" w:rsidR="0031410C" w:rsidRPr="001B6432" w:rsidRDefault="0031410C" w:rsidP="005C2432">
                  <w:pPr>
                    <w:jc w:val="center"/>
                    <w:rPr>
                      <w:rFonts w:ascii="Cambria" w:hAnsi="Cambria" w:cs="Arial"/>
                      <w:color w:val="002060"/>
                      <w:sz w:val="20"/>
                    </w:rPr>
                  </w:pP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177C0DB0" w:rsidR="005C2432" w:rsidRPr="00C80BDF" w:rsidRDefault="0031410C" w:rsidP="005C2432">
                  <w:pPr>
                    <w:rPr>
                      <w:rFonts w:ascii="Cambria" w:hAnsi="Cambria"/>
                      <w:iCs/>
                      <w:color w:val="002060"/>
                      <w:sz w:val="20"/>
                      <w:lang w:val="en-GB"/>
                    </w:rPr>
                  </w:pPr>
                  <w:r w:rsidRPr="0031410C">
                    <w:rPr>
                      <w:rFonts w:ascii="Cambria" w:hAnsi="Cambria"/>
                      <w:iCs/>
                      <w:color w:val="002060"/>
                      <w:sz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5AA52427" w14:textId="15144AA3" w:rsidR="005C2432" w:rsidRPr="001B6432" w:rsidRDefault="0031410C" w:rsidP="005C2432">
                  <w:pPr>
                    <w:jc w:val="center"/>
                    <w:rPr>
                      <w:rFonts w:ascii="Cambria" w:hAnsi="Cambria" w:cs="Arial"/>
                      <w:color w:val="002060"/>
                      <w:sz w:val="20"/>
                    </w:rPr>
                  </w:pPr>
                  <w:r>
                    <w:rPr>
                      <w:rFonts w:ascii="Cambria" w:hAnsi="Cambria" w:cs="Arial"/>
                      <w:color w:val="002060"/>
                      <w:sz w:val="20"/>
                    </w:rPr>
                    <w:t>20</w:t>
                  </w: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6FE384BC" w:rsidR="005C2432" w:rsidRPr="00F939F2" w:rsidRDefault="0031410C" w:rsidP="005C2432">
                  <w:pPr>
                    <w:rPr>
                      <w:rFonts w:ascii="Cambria" w:hAnsi="Cambria"/>
                      <w:iCs/>
                      <w:color w:val="002060"/>
                      <w:sz w:val="20"/>
                      <w:lang w:val="en-GB"/>
                    </w:rPr>
                  </w:pPr>
                  <w:r w:rsidRPr="0031410C">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3BE7E473" w:rsidR="005C2432" w:rsidRPr="00F939F2" w:rsidRDefault="0031410C" w:rsidP="005C2432">
                  <w:pPr>
                    <w:jc w:val="center"/>
                    <w:rPr>
                      <w:rFonts w:ascii="Cambria" w:hAnsi="Cambria" w:cs="Arial"/>
                      <w:b/>
                      <w:i/>
                      <w:color w:val="002060"/>
                      <w:sz w:val="20"/>
                      <w:lang w:val="en-GB"/>
                    </w:rPr>
                  </w:pPr>
                  <w:r>
                    <w:rPr>
                      <w:rFonts w:ascii="Cambria" w:hAnsi="Cambria" w:cs="Arial"/>
                      <w:b/>
                      <w:i/>
                      <w:color w:val="002060"/>
                      <w:sz w:val="20"/>
                      <w:lang w:val="en-GB"/>
                    </w:rPr>
                    <w:t>76</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7DC1776D" w14:textId="7A20F0F9" w:rsidR="00F939F2" w:rsidRPr="001007E4" w:rsidRDefault="00F939F2" w:rsidP="00C822F5">
            <w:pPr>
              <w:rPr>
                <w:rFonts w:ascii="Cambria" w:hAnsi="Cambria" w:cs="Arial"/>
                <w:color w:val="002060"/>
                <w:sz w:val="20"/>
                <w:szCs w:val="20"/>
                <w:lang w:val="en-GB"/>
              </w:rPr>
            </w:pPr>
          </w:p>
          <w:p w14:paraId="4CA79E27" w14:textId="77777777" w:rsidR="00057D00" w:rsidRDefault="00057D00" w:rsidP="0009749A">
            <w:pPr>
              <w:rPr>
                <w:rFonts w:ascii="Cambria" w:hAnsi="Cambria" w:cs="Arial"/>
                <w:color w:val="FF0000"/>
                <w:lang w:val="en-GB"/>
              </w:rPr>
            </w:pPr>
          </w:p>
          <w:p w14:paraId="514411ED" w14:textId="77777777" w:rsidR="00057D00" w:rsidRPr="00057D00" w:rsidRDefault="00057D00" w:rsidP="00057D00">
            <w:pPr>
              <w:rPr>
                <w:rFonts w:ascii="Cambria" w:hAnsi="Cambria" w:cs="Arial"/>
                <w:color w:val="1F497D" w:themeColor="text2"/>
                <w:lang w:val="en-GB"/>
              </w:rPr>
            </w:pPr>
            <w:r w:rsidRPr="00057D00">
              <w:rPr>
                <w:rFonts w:ascii="Cambria" w:hAnsi="Cambria" w:cs="Arial"/>
                <w:color w:val="1F497D" w:themeColor="text2"/>
                <w:lang w:val="en-GB"/>
              </w:rPr>
              <w:lastRenderedPageBreak/>
              <w:t xml:space="preserve">Written final exam with multiple-choice, short-answer questions, which assesses the student's understanding of the knowledge offered and critical thinking </w:t>
            </w:r>
          </w:p>
          <w:p w14:paraId="3B708B03" w14:textId="77777777" w:rsidR="00057D00" w:rsidRPr="00057D00" w:rsidRDefault="00057D00" w:rsidP="00057D00">
            <w:pPr>
              <w:rPr>
                <w:rFonts w:ascii="Cambria" w:hAnsi="Cambria" w:cs="Arial"/>
                <w:color w:val="1F497D" w:themeColor="text2"/>
                <w:lang w:val="en-GB"/>
              </w:rPr>
            </w:pPr>
            <w:r w:rsidRPr="00057D00">
              <w:rPr>
                <w:rFonts w:ascii="Cambria" w:hAnsi="Cambria" w:cs="Arial"/>
                <w:color w:val="1F497D" w:themeColor="text2"/>
                <w:lang w:val="en-GB"/>
              </w:rPr>
              <w:t>Rating scale: 1-10</w:t>
            </w:r>
          </w:p>
          <w:p w14:paraId="0B1CD887" w14:textId="6791CABA" w:rsidR="00057D00" w:rsidRPr="00057D00" w:rsidRDefault="00057D00" w:rsidP="00057D00">
            <w:pPr>
              <w:rPr>
                <w:rFonts w:ascii="Cambria" w:hAnsi="Cambria" w:cs="Arial"/>
                <w:color w:val="1F497D" w:themeColor="text2"/>
                <w:lang w:val="en-GB"/>
              </w:rPr>
            </w:pPr>
            <w:r w:rsidRPr="00057D00">
              <w:rPr>
                <w:rFonts w:ascii="Cambria" w:hAnsi="Cambria" w:cs="Arial"/>
                <w:color w:val="1F497D" w:themeColor="text2"/>
                <w:lang w:val="en-GB"/>
              </w:rPr>
              <w:t>Upgradable grade: 5</w:t>
            </w:r>
          </w:p>
          <w:p w14:paraId="2BE7C690" w14:textId="7E277295" w:rsidR="00C34A68" w:rsidRPr="004D02EC" w:rsidRDefault="00C34A68" w:rsidP="00C34A68">
            <w:pPr>
              <w:rPr>
                <w:rFonts w:ascii="Cambria" w:hAnsi="Cambria" w:cs="Arial"/>
                <w:color w:val="002060"/>
                <w:lang w:val="en-GB"/>
              </w:rPr>
            </w:pP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r w:rsidR="00AB02D2" w:rsidRPr="00AB02D2">
        <w:rPr>
          <w:rFonts w:ascii="Calibri" w:hAnsi="Calibri" w:cs="Arial"/>
          <w:i/>
          <w:sz w:val="20"/>
          <w:szCs w:val="16"/>
          <w:lang w:val="en-GB"/>
        </w:rPr>
        <w:t xml:space="preserve"> </w:t>
      </w:r>
    </w:p>
    <w:p w14:paraId="63BB3DD0" w14:textId="2F2FF319" w:rsidR="00EC6226" w:rsidRPr="00D06ADB" w:rsidRDefault="00AB02D2" w:rsidP="00D06ADB">
      <w:pPr>
        <w:widowControl w:val="0"/>
        <w:autoSpaceDE w:val="0"/>
        <w:autoSpaceDN w:val="0"/>
        <w:adjustRightInd w:val="0"/>
        <w:spacing w:before="240" w:after="200" w:line="276" w:lineRule="auto"/>
        <w:rPr>
          <w:rFonts w:asciiTheme="majorHAnsi" w:hAnsiTheme="majorHAnsi" w:cs="Arial"/>
          <w:b/>
          <w:color w:val="000000"/>
          <w:sz w:val="22"/>
          <w:szCs w:val="22"/>
          <w:lang w:val="en-GB"/>
        </w:rPr>
      </w:pPr>
      <w:r w:rsidRPr="00EC6226">
        <w:rPr>
          <w:rFonts w:asciiTheme="majorHAnsi" w:hAnsiTheme="majorHAnsi" w:cs="Arial"/>
          <w:i/>
          <w:sz w:val="20"/>
          <w:szCs w:val="16"/>
          <w:lang w:val="en-GB"/>
        </w:rPr>
        <w:t>Teaching - study material</w:t>
      </w:r>
      <w:bookmarkEnd w:id="0"/>
    </w:p>
    <w:p w14:paraId="119BC34E" w14:textId="5F0C6950" w:rsidR="00EC6226" w:rsidRDefault="00EC6226" w:rsidP="00EC6226">
      <w:pPr>
        <w:jc w:val="both"/>
        <w:rPr>
          <w:rFonts w:asciiTheme="majorHAnsi" w:hAnsiTheme="majorHAnsi"/>
        </w:rPr>
      </w:pPr>
      <w:r w:rsidRPr="008C4519">
        <w:rPr>
          <w:rFonts w:asciiTheme="majorHAnsi" w:hAnsiTheme="majorHAnsi"/>
        </w:rPr>
        <w:t xml:space="preserve">Medical Genetics. Thompson &amp; Thompson, R.L. Nussbaum, R.R. </w:t>
      </w:r>
      <w:proofErr w:type="gramStart"/>
      <w:r w:rsidRPr="008C4519">
        <w:rPr>
          <w:rFonts w:asciiTheme="majorHAnsi" w:hAnsiTheme="majorHAnsi"/>
        </w:rPr>
        <w:t xml:space="preserve">McInnes,   </w:t>
      </w:r>
      <w:proofErr w:type="gramEnd"/>
      <w:r w:rsidRPr="008C4519">
        <w:rPr>
          <w:rFonts w:asciiTheme="majorHAnsi" w:hAnsiTheme="majorHAnsi"/>
        </w:rPr>
        <w:t xml:space="preserve">                                       H.F. Willard, Broken Hill Publishers Ltd</w:t>
      </w:r>
    </w:p>
    <w:p w14:paraId="4DF8976E" w14:textId="77777777" w:rsidR="00DA647C" w:rsidRDefault="00DA647C" w:rsidP="00EC6226">
      <w:pPr>
        <w:jc w:val="both"/>
        <w:rPr>
          <w:rFonts w:asciiTheme="majorHAnsi" w:hAnsiTheme="majorHAnsi"/>
        </w:rPr>
      </w:pPr>
    </w:p>
    <w:p w14:paraId="42E0D467" w14:textId="77777777" w:rsidR="00DA647C" w:rsidRPr="00DA647C" w:rsidRDefault="00DA647C" w:rsidP="00DA647C">
      <w:pPr>
        <w:jc w:val="both"/>
        <w:rPr>
          <w:rFonts w:asciiTheme="majorHAnsi" w:hAnsiTheme="majorHAnsi"/>
        </w:rPr>
      </w:pPr>
    </w:p>
    <w:p w14:paraId="36ADEA92" w14:textId="4641562C" w:rsidR="00DA647C" w:rsidRPr="00572E63" w:rsidRDefault="00DA647C" w:rsidP="00DA647C">
      <w:pPr>
        <w:jc w:val="both"/>
        <w:rPr>
          <w:rFonts w:asciiTheme="majorHAnsi" w:hAnsiTheme="majorHAnsi"/>
          <w:i/>
          <w:iCs/>
        </w:rPr>
      </w:pPr>
      <w:r w:rsidRPr="00572E63">
        <w:rPr>
          <w:rFonts w:asciiTheme="majorHAnsi" w:hAnsiTheme="majorHAnsi"/>
          <w:i/>
          <w:iCs/>
        </w:rPr>
        <w:t>- Related academic journals:</w:t>
      </w:r>
    </w:p>
    <w:p w14:paraId="34C04DAF" w14:textId="77777777" w:rsidR="00DA647C" w:rsidRPr="00DA647C" w:rsidRDefault="00DA647C" w:rsidP="00DA647C">
      <w:pPr>
        <w:jc w:val="both"/>
        <w:rPr>
          <w:rFonts w:asciiTheme="majorHAnsi" w:hAnsiTheme="majorHAnsi"/>
        </w:rPr>
      </w:pPr>
      <w:r w:rsidRPr="00DA647C">
        <w:rPr>
          <w:rFonts w:asciiTheme="majorHAnsi" w:hAnsiTheme="majorHAnsi"/>
        </w:rPr>
        <w:t>Genetics in Medicine</w:t>
      </w:r>
    </w:p>
    <w:p w14:paraId="50711195" w14:textId="77777777" w:rsidR="00DA647C" w:rsidRPr="00DA647C" w:rsidRDefault="00DA647C" w:rsidP="00DA647C">
      <w:pPr>
        <w:jc w:val="both"/>
        <w:rPr>
          <w:rFonts w:asciiTheme="majorHAnsi" w:hAnsiTheme="majorHAnsi"/>
        </w:rPr>
      </w:pPr>
      <w:r w:rsidRPr="00DA647C">
        <w:rPr>
          <w:rFonts w:asciiTheme="majorHAnsi" w:hAnsiTheme="majorHAnsi"/>
        </w:rPr>
        <w:t>European Journal of Human Genetics</w:t>
      </w:r>
    </w:p>
    <w:p w14:paraId="1CBC6742" w14:textId="77777777" w:rsidR="00DA647C" w:rsidRPr="00DA647C" w:rsidRDefault="00DA647C" w:rsidP="00DA647C">
      <w:pPr>
        <w:jc w:val="both"/>
        <w:rPr>
          <w:rFonts w:asciiTheme="majorHAnsi" w:hAnsiTheme="majorHAnsi"/>
        </w:rPr>
      </w:pPr>
      <w:proofErr w:type="gramStart"/>
      <w:r w:rsidRPr="00DA647C">
        <w:rPr>
          <w:rFonts w:asciiTheme="majorHAnsi" w:hAnsiTheme="majorHAnsi"/>
        </w:rPr>
        <w:t>Am</w:t>
      </w:r>
      <w:proofErr w:type="gramEnd"/>
      <w:r w:rsidRPr="00DA647C">
        <w:rPr>
          <w:rFonts w:asciiTheme="majorHAnsi" w:hAnsiTheme="majorHAnsi"/>
        </w:rPr>
        <w:t xml:space="preserve"> Journal of Human Genetics</w:t>
      </w:r>
    </w:p>
    <w:p w14:paraId="02D2188F" w14:textId="77777777" w:rsidR="00DA647C" w:rsidRPr="00DA647C" w:rsidRDefault="00DA647C" w:rsidP="00DA647C">
      <w:pPr>
        <w:jc w:val="both"/>
        <w:rPr>
          <w:rFonts w:asciiTheme="majorHAnsi" w:hAnsiTheme="majorHAnsi"/>
        </w:rPr>
      </w:pPr>
      <w:r w:rsidRPr="00DA647C">
        <w:rPr>
          <w:rFonts w:asciiTheme="majorHAnsi" w:hAnsiTheme="majorHAnsi"/>
        </w:rPr>
        <w:t>Clinical Genetics</w:t>
      </w:r>
    </w:p>
    <w:p w14:paraId="5104E7A9" w14:textId="77777777" w:rsidR="00DA647C" w:rsidRPr="00DA647C" w:rsidRDefault="00DA647C" w:rsidP="00DA647C">
      <w:pPr>
        <w:jc w:val="both"/>
        <w:rPr>
          <w:rFonts w:asciiTheme="majorHAnsi" w:hAnsiTheme="majorHAnsi"/>
        </w:rPr>
      </w:pPr>
      <w:proofErr w:type="spellStart"/>
      <w:r w:rsidRPr="00DA647C">
        <w:rPr>
          <w:rFonts w:asciiTheme="majorHAnsi" w:hAnsiTheme="majorHAnsi"/>
        </w:rPr>
        <w:t>Plos</w:t>
      </w:r>
      <w:proofErr w:type="spellEnd"/>
      <w:r w:rsidRPr="00DA647C">
        <w:rPr>
          <w:rFonts w:asciiTheme="majorHAnsi" w:hAnsiTheme="majorHAnsi"/>
        </w:rPr>
        <w:t xml:space="preserve"> Genetics</w:t>
      </w:r>
    </w:p>
    <w:p w14:paraId="06978DDB" w14:textId="6F6B1BD3" w:rsidR="00DA647C" w:rsidRPr="00EC6226" w:rsidRDefault="00DA647C" w:rsidP="00EC6226">
      <w:pPr>
        <w:jc w:val="both"/>
        <w:rPr>
          <w:rFonts w:asciiTheme="majorHAnsi" w:hAnsiTheme="majorHAnsi"/>
        </w:rPr>
      </w:pPr>
      <w:r w:rsidRPr="00DA647C">
        <w:rPr>
          <w:rFonts w:asciiTheme="majorHAnsi" w:hAnsiTheme="majorHAnsi"/>
        </w:rPr>
        <w:t>Nature Genetics</w:t>
      </w:r>
    </w:p>
    <w:sectPr w:rsidR="00DA647C" w:rsidRPr="00EC6226"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66A5" w14:textId="77777777" w:rsidR="001145F3" w:rsidRDefault="001145F3">
      <w:r>
        <w:separator/>
      </w:r>
    </w:p>
  </w:endnote>
  <w:endnote w:type="continuationSeparator" w:id="0">
    <w:p w14:paraId="396B1791" w14:textId="77777777" w:rsidR="001145F3" w:rsidRDefault="001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EF82" w14:textId="77777777" w:rsidR="001145F3" w:rsidRDefault="001145F3">
      <w:r>
        <w:separator/>
      </w:r>
    </w:p>
  </w:footnote>
  <w:footnote w:type="continuationSeparator" w:id="0">
    <w:p w14:paraId="6EF1136D" w14:textId="77777777" w:rsidR="001145F3" w:rsidRDefault="00114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85pt;height:8.85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0D15F60"/>
    <w:multiLevelType w:val="hybridMultilevel"/>
    <w:tmpl w:val="8138C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92C1BD9"/>
    <w:multiLevelType w:val="hybridMultilevel"/>
    <w:tmpl w:val="4394ED56"/>
    <w:lvl w:ilvl="0" w:tplc="01100C54">
      <w:start w:val="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66C6D46"/>
    <w:multiLevelType w:val="hybridMultilevel"/>
    <w:tmpl w:val="C83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287133">
    <w:abstractNumId w:val="4"/>
  </w:num>
  <w:num w:numId="2" w16cid:durableId="1846556164">
    <w:abstractNumId w:val="11"/>
  </w:num>
  <w:num w:numId="3" w16cid:durableId="588274483">
    <w:abstractNumId w:val="6"/>
  </w:num>
  <w:num w:numId="4" w16cid:durableId="1012952648">
    <w:abstractNumId w:val="9"/>
  </w:num>
  <w:num w:numId="5" w16cid:durableId="538978403">
    <w:abstractNumId w:val="8"/>
  </w:num>
  <w:num w:numId="6" w16cid:durableId="586697185">
    <w:abstractNumId w:val="5"/>
  </w:num>
  <w:num w:numId="7" w16cid:durableId="352609905">
    <w:abstractNumId w:val="7"/>
  </w:num>
  <w:num w:numId="8" w16cid:durableId="1928033746">
    <w:abstractNumId w:val="1"/>
  </w:num>
  <w:num w:numId="9" w16cid:durableId="1931041878">
    <w:abstractNumId w:val="2"/>
  </w:num>
  <w:num w:numId="10" w16cid:durableId="1098020124">
    <w:abstractNumId w:val="0"/>
  </w:num>
  <w:num w:numId="11" w16cid:durableId="1720007302">
    <w:abstractNumId w:val="3"/>
  </w:num>
  <w:num w:numId="12" w16cid:durableId="1135021653">
    <w:abstractNumId w:val="12"/>
  </w:num>
  <w:num w:numId="13" w16cid:durableId="49684657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s7Q0NDe0tDS1tDRR0lEKTi0uzszPAykwqgUAOzb8KCwAAAA="/>
  </w:docVars>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67E0"/>
    <w:rsid w:val="00037685"/>
    <w:rsid w:val="00037924"/>
    <w:rsid w:val="00040596"/>
    <w:rsid w:val="000410DA"/>
    <w:rsid w:val="00041C10"/>
    <w:rsid w:val="000443E5"/>
    <w:rsid w:val="0005007E"/>
    <w:rsid w:val="00051826"/>
    <w:rsid w:val="00052058"/>
    <w:rsid w:val="00055F53"/>
    <w:rsid w:val="0005657A"/>
    <w:rsid w:val="000571FD"/>
    <w:rsid w:val="00057D00"/>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9749A"/>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5F3"/>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B2F"/>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4E66"/>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04C6"/>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410C"/>
    <w:rsid w:val="003174C4"/>
    <w:rsid w:val="00321439"/>
    <w:rsid w:val="0032156B"/>
    <w:rsid w:val="00321D2B"/>
    <w:rsid w:val="00322325"/>
    <w:rsid w:val="003223CB"/>
    <w:rsid w:val="00322A02"/>
    <w:rsid w:val="00323341"/>
    <w:rsid w:val="0032356A"/>
    <w:rsid w:val="003247F4"/>
    <w:rsid w:val="003253D6"/>
    <w:rsid w:val="00330DCF"/>
    <w:rsid w:val="003318BE"/>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4B85"/>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2603"/>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1632C"/>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470F6"/>
    <w:rsid w:val="00552661"/>
    <w:rsid w:val="00553D55"/>
    <w:rsid w:val="00555E43"/>
    <w:rsid w:val="005576D8"/>
    <w:rsid w:val="00560B00"/>
    <w:rsid w:val="00561B2C"/>
    <w:rsid w:val="00562CCC"/>
    <w:rsid w:val="00564A87"/>
    <w:rsid w:val="005653AC"/>
    <w:rsid w:val="005655E4"/>
    <w:rsid w:val="00565796"/>
    <w:rsid w:val="005667DA"/>
    <w:rsid w:val="00566888"/>
    <w:rsid w:val="005712F1"/>
    <w:rsid w:val="0057137E"/>
    <w:rsid w:val="0057266B"/>
    <w:rsid w:val="00572E63"/>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0B4C"/>
    <w:rsid w:val="005F1D7B"/>
    <w:rsid w:val="0060443B"/>
    <w:rsid w:val="00605202"/>
    <w:rsid w:val="00605EBA"/>
    <w:rsid w:val="00606296"/>
    <w:rsid w:val="00606935"/>
    <w:rsid w:val="00607285"/>
    <w:rsid w:val="00607F29"/>
    <w:rsid w:val="006106AB"/>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4D03"/>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116"/>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2F68"/>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3BA5"/>
    <w:rsid w:val="008045B8"/>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47CE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519"/>
    <w:rsid w:val="008C49DC"/>
    <w:rsid w:val="008C5460"/>
    <w:rsid w:val="008C72C9"/>
    <w:rsid w:val="008D1CA0"/>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C3C"/>
    <w:rsid w:val="008F7F8B"/>
    <w:rsid w:val="00900035"/>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3E8D"/>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37F13"/>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542A"/>
    <w:rsid w:val="00A87095"/>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4E08"/>
    <w:rsid w:val="00AE645E"/>
    <w:rsid w:val="00AE68C8"/>
    <w:rsid w:val="00AF05BA"/>
    <w:rsid w:val="00AF0A2A"/>
    <w:rsid w:val="00AF1510"/>
    <w:rsid w:val="00AF4182"/>
    <w:rsid w:val="00AF55D6"/>
    <w:rsid w:val="00B00008"/>
    <w:rsid w:val="00B01560"/>
    <w:rsid w:val="00B03183"/>
    <w:rsid w:val="00B03988"/>
    <w:rsid w:val="00B03B1E"/>
    <w:rsid w:val="00B04153"/>
    <w:rsid w:val="00B069A3"/>
    <w:rsid w:val="00B10D57"/>
    <w:rsid w:val="00B11FC0"/>
    <w:rsid w:val="00B13106"/>
    <w:rsid w:val="00B1500E"/>
    <w:rsid w:val="00B160B7"/>
    <w:rsid w:val="00B23D40"/>
    <w:rsid w:val="00B245EF"/>
    <w:rsid w:val="00B30FE0"/>
    <w:rsid w:val="00B3176A"/>
    <w:rsid w:val="00B32D90"/>
    <w:rsid w:val="00B3321C"/>
    <w:rsid w:val="00B332FA"/>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4A3E"/>
    <w:rsid w:val="00B955D4"/>
    <w:rsid w:val="00B959D0"/>
    <w:rsid w:val="00B9668D"/>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77D"/>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BF7CF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4A68"/>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49F"/>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ADB"/>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2FA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47C"/>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2F95"/>
    <w:rsid w:val="00E046DC"/>
    <w:rsid w:val="00E0649E"/>
    <w:rsid w:val="00E07D93"/>
    <w:rsid w:val="00E15C15"/>
    <w:rsid w:val="00E20510"/>
    <w:rsid w:val="00E2182A"/>
    <w:rsid w:val="00E22144"/>
    <w:rsid w:val="00E225F2"/>
    <w:rsid w:val="00E22C9D"/>
    <w:rsid w:val="00E25C49"/>
    <w:rsid w:val="00E26331"/>
    <w:rsid w:val="00E27D1E"/>
    <w:rsid w:val="00E31BE8"/>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226"/>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1239</Words>
  <Characters>7068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ΙΩΑΝΝΑ ΜΠΟΥΜΠΑ</cp:lastModifiedBy>
  <cp:revision>7</cp:revision>
  <cp:lastPrinted>2014-04-24T13:33:00Z</cp:lastPrinted>
  <dcterms:created xsi:type="dcterms:W3CDTF">2024-12-13T12:07:00Z</dcterms:created>
  <dcterms:modified xsi:type="dcterms:W3CDTF">2024-12-13T12:10:00Z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