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FF65BA" w:rsidRDefault="00C45CAD" w:rsidP="00C822F5">
            <w:pPr>
              <w:rPr>
                <w:rFonts w:asciiTheme="majorHAnsi" w:hAnsiTheme="majorHAnsi" w:cs="Arial"/>
                <w:sz w:val="20"/>
                <w:szCs w:val="20"/>
                <w:lang w:val="en-GB"/>
              </w:rPr>
            </w:pPr>
            <w:r w:rsidRPr="00FF65BA">
              <w:rPr>
                <w:rFonts w:asciiTheme="majorHAnsi" w:hAnsiTheme="majorHAnsi" w:cs="Arial"/>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FF65BA" w:rsidRDefault="00C45CAD" w:rsidP="00C822F5">
            <w:pPr>
              <w:rPr>
                <w:rFonts w:asciiTheme="majorHAnsi" w:hAnsiTheme="majorHAnsi" w:cs="Arial"/>
                <w:sz w:val="20"/>
                <w:szCs w:val="20"/>
                <w:lang w:val="en-GB"/>
              </w:rPr>
            </w:pPr>
            <w:r w:rsidRPr="00FF65BA">
              <w:rPr>
                <w:rFonts w:asciiTheme="majorHAnsi" w:hAnsiTheme="majorHAnsi" w:cs="Arial"/>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FF65BA" w:rsidRDefault="003E42F6" w:rsidP="00C822F5">
            <w:pPr>
              <w:rPr>
                <w:rFonts w:asciiTheme="majorHAnsi" w:hAnsiTheme="majorHAnsi" w:cs="Arial"/>
                <w:sz w:val="20"/>
                <w:szCs w:val="20"/>
              </w:rPr>
            </w:pPr>
            <w:r w:rsidRPr="00FF65BA">
              <w:rPr>
                <w:rFonts w:asciiTheme="majorHAnsi" w:hAnsiTheme="majorHAnsi" w:cs="Arial"/>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0C895854" w:rsidR="005D23EB" w:rsidRPr="00FF65BA" w:rsidRDefault="00004BD8" w:rsidP="00C822F5">
            <w:pPr>
              <w:rPr>
                <w:rFonts w:asciiTheme="majorHAnsi" w:hAnsiTheme="majorHAnsi" w:cs="Arial"/>
                <w:b/>
                <w:bCs/>
                <w:sz w:val="20"/>
                <w:szCs w:val="20"/>
              </w:rPr>
            </w:pPr>
            <w:r w:rsidRPr="00FF65BA">
              <w:rPr>
                <w:rFonts w:asciiTheme="majorHAnsi" w:hAnsiTheme="majorHAnsi"/>
                <w:sz w:val="20"/>
                <w:szCs w:val="20"/>
              </w:rPr>
              <w:t>IAYB04</w:t>
            </w:r>
            <w:r w:rsidRPr="00FF65BA">
              <w:rPr>
                <w:rFonts w:asciiTheme="majorHAnsi" w:hAnsiTheme="majorHAnsi"/>
                <w:sz w:val="20"/>
                <w:szCs w:val="20"/>
              </w:rPr>
              <w:br/>
            </w:r>
          </w:p>
        </w:tc>
        <w:tc>
          <w:tcPr>
            <w:tcW w:w="2505" w:type="dxa"/>
            <w:gridSpan w:val="2"/>
            <w:shd w:val="clear" w:color="auto" w:fill="DDD9C3"/>
          </w:tcPr>
          <w:p w14:paraId="70BE4333" w14:textId="77777777" w:rsidR="005D23EB" w:rsidRPr="00FF65BA" w:rsidRDefault="005D23EB" w:rsidP="00C822F5">
            <w:pPr>
              <w:jc w:val="right"/>
              <w:rPr>
                <w:rFonts w:asciiTheme="majorHAnsi" w:hAnsiTheme="majorHAnsi" w:cs="Arial"/>
                <w:b/>
                <w:sz w:val="20"/>
                <w:szCs w:val="20"/>
                <w:lang w:val="en-GB"/>
              </w:rPr>
            </w:pPr>
            <w:r w:rsidRPr="00FF65BA">
              <w:rPr>
                <w:rFonts w:asciiTheme="majorHAnsi" w:hAnsiTheme="majorHAnsi" w:cs="Arial"/>
                <w:b/>
                <w:sz w:val="20"/>
                <w:szCs w:val="20"/>
                <w:lang w:val="en-GB"/>
              </w:rPr>
              <w:t>SEMESTER</w:t>
            </w:r>
          </w:p>
        </w:tc>
        <w:tc>
          <w:tcPr>
            <w:tcW w:w="1591" w:type="dxa"/>
            <w:gridSpan w:val="2"/>
          </w:tcPr>
          <w:p w14:paraId="4E24F642" w14:textId="25DA42F9" w:rsidR="005D23EB" w:rsidRPr="00FF65BA" w:rsidRDefault="00004BD8" w:rsidP="00C822F5">
            <w:pPr>
              <w:rPr>
                <w:rFonts w:asciiTheme="majorHAnsi" w:hAnsiTheme="majorHAnsi" w:cs="Arial"/>
                <w:b/>
                <w:sz w:val="20"/>
                <w:szCs w:val="20"/>
              </w:rPr>
            </w:pPr>
            <w:r w:rsidRPr="00FF65BA">
              <w:rPr>
                <w:rFonts w:asciiTheme="majorHAnsi" w:hAnsiTheme="majorHAnsi" w:cs="Arial"/>
                <w:b/>
                <w:sz w:val="20"/>
                <w:szCs w:val="20"/>
              </w:rPr>
              <w:t>11-12th</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0E8B71E0" w:rsidR="005D23EB" w:rsidRPr="00FF65BA" w:rsidRDefault="00004BD8" w:rsidP="00C822F5">
            <w:pPr>
              <w:rPr>
                <w:rFonts w:asciiTheme="majorHAnsi" w:hAnsiTheme="majorHAnsi" w:cs="Arial"/>
                <w:b/>
                <w:sz w:val="20"/>
                <w:szCs w:val="20"/>
                <w:lang w:val="en-GB"/>
              </w:rPr>
            </w:pPr>
            <w:r w:rsidRPr="00FF65BA">
              <w:rPr>
                <w:rFonts w:asciiTheme="majorHAnsi" w:hAnsiTheme="majorHAnsi"/>
                <w:sz w:val="20"/>
                <w:szCs w:val="20"/>
              </w:rPr>
              <w:t>Obstetrics and Gynecology</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0924C13B" w:rsidR="005D23EB" w:rsidRPr="006403CB" w:rsidRDefault="005D23EB" w:rsidP="00C822F5">
            <w:pPr>
              <w:jc w:val="right"/>
              <w:rPr>
                <w:rFonts w:ascii="Cambria" w:hAnsi="Cambria" w:cs="Arial"/>
                <w:color w:val="002060"/>
                <w:sz w:val="20"/>
                <w:szCs w:val="20"/>
                <w:lang w:val="en-GB"/>
              </w:rPr>
            </w:pPr>
          </w:p>
        </w:tc>
        <w:tc>
          <w:tcPr>
            <w:tcW w:w="1559" w:type="dxa"/>
            <w:gridSpan w:val="2"/>
          </w:tcPr>
          <w:p w14:paraId="69C822B2" w14:textId="438A4394" w:rsidR="005D23EB" w:rsidRPr="00FF65BA" w:rsidRDefault="00004BD8" w:rsidP="00C822F5">
            <w:pPr>
              <w:jc w:val="center"/>
              <w:rPr>
                <w:rFonts w:asciiTheme="majorHAnsi" w:hAnsiTheme="majorHAnsi" w:cs="Arial"/>
                <w:color w:val="002060"/>
                <w:sz w:val="22"/>
                <w:szCs w:val="22"/>
                <w:lang w:val="en-GB"/>
              </w:rPr>
            </w:pPr>
            <w:r w:rsidRPr="00FF65BA">
              <w:rPr>
                <w:rFonts w:asciiTheme="majorHAnsi" w:hAnsiTheme="majorHAnsi"/>
                <w:sz w:val="22"/>
                <w:szCs w:val="22"/>
              </w:rPr>
              <w:t>12 (Lectures &amp; Clinical Practice)</w:t>
            </w:r>
            <w:r w:rsidRPr="00FF65BA">
              <w:rPr>
                <w:rFonts w:asciiTheme="majorHAnsi" w:hAnsiTheme="majorHAnsi"/>
                <w:sz w:val="22"/>
                <w:szCs w:val="22"/>
              </w:rPr>
              <w:br/>
            </w:r>
          </w:p>
        </w:tc>
        <w:tc>
          <w:tcPr>
            <w:tcW w:w="1240" w:type="dxa"/>
          </w:tcPr>
          <w:p w14:paraId="3DE7F422" w14:textId="504EC93B" w:rsidR="005D23EB" w:rsidRPr="00A30B8B" w:rsidRDefault="00004BD8" w:rsidP="00C822F5">
            <w:pPr>
              <w:jc w:val="center"/>
              <w:rPr>
                <w:rFonts w:ascii="Cambria" w:hAnsi="Cambria" w:cs="Arial"/>
                <w:color w:val="002060"/>
                <w:sz w:val="20"/>
                <w:szCs w:val="20"/>
                <w:lang w:val="en-GB"/>
              </w:rPr>
            </w:pPr>
            <w:r>
              <w:rPr>
                <w:rFonts w:ascii="Cambria" w:hAnsi="Cambria" w:cs="Arial"/>
                <w:color w:val="002060"/>
                <w:sz w:val="20"/>
                <w:szCs w:val="20"/>
                <w:lang w:val="en-GB"/>
              </w:rPr>
              <w:t>12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FF65BA" w:rsidRDefault="005D23EB" w:rsidP="00C822F5">
            <w:pPr>
              <w:jc w:val="right"/>
              <w:rPr>
                <w:rFonts w:asciiTheme="majorHAnsi" w:hAnsiTheme="majorHAnsi" w:cs="Arial"/>
                <w:color w:val="002060"/>
                <w:sz w:val="22"/>
                <w:szCs w:val="22"/>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FF65BA" w:rsidRDefault="005D23EB" w:rsidP="00C822F5">
            <w:pPr>
              <w:jc w:val="right"/>
              <w:rPr>
                <w:rFonts w:asciiTheme="majorHAnsi" w:hAnsiTheme="majorHAnsi" w:cs="Arial"/>
                <w:color w:val="002060"/>
                <w:sz w:val="22"/>
                <w:szCs w:val="22"/>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FF65BA" w:rsidRDefault="005D23EB" w:rsidP="00C822F5">
            <w:pPr>
              <w:jc w:val="right"/>
              <w:rPr>
                <w:rFonts w:asciiTheme="majorHAnsi" w:hAnsiTheme="majorHAnsi" w:cs="Arial"/>
                <w:color w:val="002060"/>
                <w:sz w:val="22"/>
                <w:szCs w:val="22"/>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2647D7DD" w:rsidR="005D23EB" w:rsidRPr="00FF65BA" w:rsidRDefault="00004BD8" w:rsidP="00B75259">
            <w:pPr>
              <w:rPr>
                <w:rFonts w:asciiTheme="majorHAnsi" w:hAnsiTheme="majorHAnsi" w:cs="Arial"/>
                <w:sz w:val="22"/>
                <w:szCs w:val="22"/>
                <w:lang w:val="en-GB"/>
              </w:rPr>
            </w:pPr>
            <w:r w:rsidRPr="00FF65BA">
              <w:rPr>
                <w:rFonts w:asciiTheme="majorHAnsi" w:hAnsiTheme="majorHAnsi"/>
                <w:sz w:val="22"/>
                <w:szCs w:val="22"/>
              </w:rPr>
              <w:t>Specialized Background - Specialization</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0E35D2C" w:rsidR="005D23EB" w:rsidRPr="003569FB" w:rsidRDefault="00004BD8" w:rsidP="00C822F5">
            <w:pPr>
              <w:rPr>
                <w:rFonts w:asciiTheme="majorHAnsi" w:hAnsiTheme="majorHAnsi" w:cs="Arial"/>
                <w:sz w:val="22"/>
                <w:szCs w:val="22"/>
                <w:lang w:val="en-GB"/>
              </w:rPr>
            </w:pPr>
            <w:r w:rsidRPr="003569FB">
              <w:rPr>
                <w:rFonts w:asciiTheme="majorHAnsi" w:hAnsiTheme="majorHAnsi" w:cs="Arial"/>
                <w:sz w:val="22"/>
                <w:szCs w:val="22"/>
                <w:lang w:val="en-GB"/>
              </w:rPr>
              <w:t>None</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D465AE8" w14:textId="77777777" w:rsidR="00004BD8" w:rsidRPr="003569FB" w:rsidRDefault="00004BD8" w:rsidP="00004BD8">
            <w:pPr>
              <w:rPr>
                <w:rFonts w:asciiTheme="majorHAnsi" w:hAnsiTheme="majorHAnsi"/>
                <w:sz w:val="22"/>
                <w:szCs w:val="22"/>
              </w:rPr>
            </w:pPr>
            <w:r w:rsidRPr="003569FB">
              <w:rPr>
                <w:rFonts w:asciiTheme="majorHAnsi" w:hAnsiTheme="majorHAnsi"/>
                <w:sz w:val="22"/>
                <w:szCs w:val="22"/>
              </w:rPr>
              <w:t>Greek (Available in English for Erasmus students)</w:t>
            </w:r>
          </w:p>
          <w:p w14:paraId="4A3BB6FD" w14:textId="3DD8645E" w:rsidR="005D23EB" w:rsidRPr="003569FB" w:rsidRDefault="005D23EB" w:rsidP="00C822F5">
            <w:pPr>
              <w:rPr>
                <w:rFonts w:asciiTheme="majorHAnsi" w:hAnsiTheme="majorHAnsi" w:cs="Arial"/>
                <w:sz w:val="22"/>
                <w:szCs w:val="22"/>
              </w:rPr>
            </w:pP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245A9530" w:rsidR="005D23EB" w:rsidRPr="003569FB" w:rsidRDefault="00004BD8" w:rsidP="00C822F5">
            <w:pPr>
              <w:rPr>
                <w:rFonts w:asciiTheme="majorHAnsi" w:hAnsiTheme="majorHAnsi" w:cs="Arial"/>
                <w:sz w:val="22"/>
                <w:szCs w:val="22"/>
                <w:lang w:val="en-GB"/>
              </w:rPr>
            </w:pPr>
            <w:r w:rsidRPr="003569FB">
              <w:rPr>
                <w:rFonts w:asciiTheme="majorHAnsi" w:hAnsiTheme="majorHAnsi" w:cs="Arial"/>
                <w:sz w:val="22"/>
                <w:szCs w:val="22"/>
                <w:lang w:val="en-GB"/>
              </w:rPr>
              <w:t>Yes</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47ADAC44" w:rsidR="005D23EB" w:rsidRPr="003569FB" w:rsidRDefault="003569FB" w:rsidP="00C822F5">
            <w:pPr>
              <w:spacing w:after="200" w:line="276" w:lineRule="auto"/>
              <w:rPr>
                <w:rFonts w:asciiTheme="majorHAnsi" w:hAnsiTheme="majorHAnsi" w:cs="Arial"/>
                <w:sz w:val="22"/>
                <w:szCs w:val="22"/>
                <w:lang w:val="en-GB"/>
              </w:rPr>
            </w:pPr>
            <w:hyperlink r:id="rId7" w:history="1">
              <w:r w:rsidRPr="003569FB">
                <w:rPr>
                  <w:rStyle w:val="-"/>
                  <w:rFonts w:asciiTheme="majorHAnsi" w:hAnsiTheme="majorHAnsi" w:cs="Arial"/>
                  <w:sz w:val="22"/>
                  <w:szCs w:val="22"/>
                  <w:u w:val="none"/>
                  <w:lang w:val="en-GB"/>
                </w:rPr>
                <w:t>https://ecourse.uoi.gr/enrol/index.php?id=1885</w:t>
              </w:r>
            </w:hyperlink>
            <w:r w:rsidRPr="003569FB">
              <w:rPr>
                <w:rFonts w:asciiTheme="majorHAnsi" w:hAnsiTheme="majorHAnsi" w:cs="Arial"/>
                <w:sz w:val="22"/>
                <w:szCs w:val="22"/>
                <w:lang w:val="en-GB"/>
              </w:rPr>
              <w:t xml:space="preserve"> (in Greek)</w:t>
            </w:r>
          </w:p>
        </w:tc>
      </w:tr>
    </w:tbl>
    <w:p w14:paraId="2435095F" w14:textId="77777777" w:rsidR="005D23EB" w:rsidRPr="003569FB" w:rsidRDefault="005D23EB" w:rsidP="008671BA">
      <w:pPr>
        <w:rPr>
          <w:rFonts w:ascii="Cambria" w:hAnsi="Cambria"/>
          <w:lang w:val="en-GB"/>
        </w:rPr>
      </w:pPr>
    </w:p>
    <w:p w14:paraId="21B5378A" w14:textId="77777777" w:rsidR="00293C01" w:rsidRPr="003569FB" w:rsidRDefault="00293C01" w:rsidP="008671BA">
      <w:pPr>
        <w:rPr>
          <w:rFonts w:ascii="Cambria" w:hAnsi="Cambria"/>
          <w:lang w:val="en-GB"/>
        </w:rPr>
      </w:pPr>
    </w:p>
    <w:p w14:paraId="40205B2F" w14:textId="77777777" w:rsidR="00293C01" w:rsidRPr="003569FB" w:rsidRDefault="00293C01" w:rsidP="008671BA">
      <w:pPr>
        <w:rPr>
          <w:rFonts w:ascii="Cambria" w:hAnsi="Cambria"/>
          <w:lang w:val="en-GB"/>
        </w:rPr>
      </w:pPr>
    </w:p>
    <w:p w14:paraId="345700CD" w14:textId="77777777" w:rsidR="00293C01" w:rsidRPr="003569FB" w:rsidRDefault="00293C01" w:rsidP="008671BA">
      <w:pPr>
        <w:rPr>
          <w:rFonts w:ascii="Cambria" w:hAnsi="Cambria"/>
          <w:lang w:val="en-GB"/>
        </w:rPr>
      </w:pPr>
    </w:p>
    <w:p w14:paraId="08C69370" w14:textId="77777777" w:rsidR="00293C01" w:rsidRPr="003569FB" w:rsidRDefault="00293C01" w:rsidP="008671BA">
      <w:pPr>
        <w:rPr>
          <w:rFonts w:ascii="Cambria" w:hAnsi="Cambria"/>
          <w:lang w:val="en-GB"/>
        </w:rPr>
      </w:pPr>
    </w:p>
    <w:p w14:paraId="4512F6CB" w14:textId="77777777" w:rsidR="00293C01" w:rsidRPr="003569FB" w:rsidRDefault="00293C01" w:rsidP="008671BA">
      <w:pPr>
        <w:rPr>
          <w:rFonts w:ascii="Cambria" w:hAnsi="Cambria"/>
          <w:lang w:val="en-GB"/>
        </w:rPr>
      </w:pPr>
    </w:p>
    <w:p w14:paraId="0392B20D" w14:textId="77777777" w:rsidR="00293C01" w:rsidRPr="003569FB" w:rsidRDefault="00293C01" w:rsidP="008671BA">
      <w:pPr>
        <w:rPr>
          <w:rFonts w:ascii="Cambria" w:hAnsi="Cambria"/>
          <w:lang w:val="en-GB"/>
        </w:rPr>
      </w:pPr>
    </w:p>
    <w:p w14:paraId="2DC54A35" w14:textId="77777777" w:rsidR="00293C01" w:rsidRPr="003569FB" w:rsidRDefault="00293C01" w:rsidP="008671BA">
      <w:pPr>
        <w:rPr>
          <w:rFonts w:ascii="Cambria" w:hAnsi="Cambria"/>
          <w:lang w:val="en-GB"/>
        </w:rPr>
      </w:pPr>
    </w:p>
    <w:p w14:paraId="04BC908D" w14:textId="77777777" w:rsidR="00293C01" w:rsidRPr="003569FB" w:rsidRDefault="00293C01" w:rsidP="008671BA">
      <w:pPr>
        <w:rPr>
          <w:rFonts w:ascii="Cambria" w:hAnsi="Cambria"/>
          <w:lang w:val="en-GB"/>
        </w:rPr>
      </w:pPr>
      <w:r w:rsidRPr="003569FB">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77373B39" w14:textId="77777777" w:rsidR="00004BD8" w:rsidRPr="00FF65BA" w:rsidRDefault="00004BD8" w:rsidP="00004BD8">
            <w:pPr>
              <w:rPr>
                <w:rFonts w:asciiTheme="majorHAnsi" w:hAnsiTheme="majorHAnsi"/>
                <w:sz w:val="22"/>
                <w:szCs w:val="22"/>
              </w:rPr>
            </w:pPr>
            <w:r w:rsidRPr="00FF65BA">
              <w:rPr>
                <w:rFonts w:asciiTheme="majorHAnsi" w:hAnsiTheme="majorHAnsi"/>
                <w:sz w:val="22"/>
                <w:szCs w:val="22"/>
              </w:rPr>
              <w:t>The course aims to provide knowledge on the pathology and surgical aspects of female reproductive system. By the end of the course, students will:</w:t>
            </w:r>
            <w:r w:rsidRPr="00FF65BA">
              <w:rPr>
                <w:rFonts w:asciiTheme="majorHAnsi" w:hAnsiTheme="majorHAnsi"/>
                <w:sz w:val="22"/>
                <w:szCs w:val="22"/>
              </w:rPr>
              <w:br/>
              <w:t>- Take comprehensive obstetric and gynecological histories</w:t>
            </w:r>
            <w:r w:rsidRPr="00FF65BA">
              <w:rPr>
                <w:rFonts w:asciiTheme="majorHAnsi" w:hAnsiTheme="majorHAnsi"/>
                <w:sz w:val="22"/>
                <w:szCs w:val="22"/>
              </w:rPr>
              <w:br/>
              <w:t>- Recognize and manage pregnancy-related pathology</w:t>
            </w:r>
            <w:r w:rsidRPr="00FF65BA">
              <w:rPr>
                <w:rFonts w:asciiTheme="majorHAnsi" w:hAnsiTheme="majorHAnsi"/>
                <w:sz w:val="22"/>
                <w:szCs w:val="22"/>
              </w:rPr>
              <w:br/>
              <w:t>- Address reproductive and gynecological endocrinology problems</w:t>
            </w:r>
            <w:r w:rsidRPr="00FF65BA">
              <w:rPr>
                <w:rFonts w:asciiTheme="majorHAnsi" w:hAnsiTheme="majorHAnsi"/>
                <w:sz w:val="22"/>
                <w:szCs w:val="22"/>
              </w:rPr>
              <w:br/>
              <w:t>- Propose therapeutic options in Obstetrics and Gynecology</w:t>
            </w:r>
            <w:r w:rsidRPr="00FF65BA">
              <w:rPr>
                <w:rFonts w:asciiTheme="majorHAnsi" w:hAnsiTheme="majorHAnsi"/>
                <w:sz w:val="22"/>
                <w:szCs w:val="22"/>
              </w:rPr>
              <w:br/>
              <w:t>- Recognize and address problems in Gynecological Oncology and Urology</w:t>
            </w:r>
          </w:p>
          <w:p w14:paraId="5A432854" w14:textId="77777777" w:rsidR="001B6432" w:rsidRPr="00FF65BA" w:rsidRDefault="001B6432" w:rsidP="001B6432">
            <w:pPr>
              <w:pStyle w:val="Web"/>
              <w:jc w:val="both"/>
              <w:rPr>
                <w:rStyle w:val="af3"/>
                <w:rFonts w:asciiTheme="majorHAnsi" w:hAnsiTheme="majorHAnsi"/>
                <w:sz w:val="22"/>
                <w:szCs w:val="22"/>
                <w:lang w:val="en-US"/>
              </w:rPr>
            </w:pPr>
          </w:p>
          <w:p w14:paraId="5C698666" w14:textId="725E809C" w:rsidR="001B6432" w:rsidRPr="00CC0E48" w:rsidRDefault="001B6432" w:rsidP="001B6432">
            <w:pPr>
              <w:pStyle w:val="Web"/>
              <w:jc w:val="both"/>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EF8EF24" w14:textId="4BA60658" w:rsidR="00004BD8" w:rsidRPr="00FF65BA" w:rsidRDefault="00004BD8" w:rsidP="00004BD8">
            <w:pPr>
              <w:rPr>
                <w:rFonts w:asciiTheme="majorHAnsi" w:hAnsiTheme="majorHAnsi"/>
                <w:sz w:val="22"/>
                <w:szCs w:val="22"/>
                <w:lang w:val="en-GB"/>
              </w:rPr>
            </w:pPr>
            <w:r w:rsidRPr="00FF65BA">
              <w:rPr>
                <w:rFonts w:asciiTheme="majorHAnsi" w:hAnsiTheme="majorHAnsi"/>
                <w:sz w:val="22"/>
                <w:szCs w:val="22"/>
                <w:lang w:val="en-GB"/>
              </w:rPr>
              <w:t>-</w:t>
            </w:r>
            <w:r w:rsidR="00FF65BA" w:rsidRPr="00FF65BA">
              <w:rPr>
                <w:rFonts w:asciiTheme="majorHAnsi" w:hAnsiTheme="majorHAnsi"/>
                <w:sz w:val="22"/>
                <w:szCs w:val="22"/>
                <w:lang w:val="en-GB"/>
              </w:rPr>
              <w:t xml:space="preserve"> </w:t>
            </w:r>
            <w:r w:rsidRPr="00FF65BA">
              <w:rPr>
                <w:rFonts w:asciiTheme="majorHAnsi" w:hAnsiTheme="majorHAnsi"/>
                <w:sz w:val="22"/>
                <w:szCs w:val="22"/>
                <w:lang w:val="en-GB"/>
              </w:rPr>
              <w:t>Data search, analysis, and synthesis using appropriate technologies.</w:t>
            </w:r>
            <w:r w:rsidRPr="00FF65BA">
              <w:rPr>
                <w:rFonts w:asciiTheme="majorHAnsi" w:hAnsiTheme="majorHAnsi"/>
                <w:sz w:val="22"/>
                <w:szCs w:val="22"/>
                <w:lang w:val="en-GB"/>
              </w:rPr>
              <w:br/>
              <w:t>- Decision-making.</w:t>
            </w:r>
            <w:r w:rsidRPr="00FF65BA">
              <w:rPr>
                <w:rFonts w:asciiTheme="majorHAnsi" w:hAnsiTheme="majorHAnsi"/>
                <w:sz w:val="22"/>
                <w:szCs w:val="22"/>
                <w:lang w:val="en-GB"/>
              </w:rPr>
              <w:br/>
              <w:t>- Independent work.</w:t>
            </w:r>
            <w:r w:rsidRPr="00FF65BA">
              <w:rPr>
                <w:rFonts w:asciiTheme="majorHAnsi" w:hAnsiTheme="majorHAnsi"/>
                <w:sz w:val="22"/>
                <w:szCs w:val="22"/>
                <w:lang w:val="en-GB"/>
              </w:rPr>
              <w:br/>
              <w:t>- Teamwork.</w:t>
            </w:r>
            <w:r w:rsidRPr="00FF65BA">
              <w:rPr>
                <w:rFonts w:asciiTheme="majorHAnsi" w:hAnsiTheme="majorHAnsi"/>
                <w:sz w:val="22"/>
                <w:szCs w:val="22"/>
                <w:lang w:val="en-GB"/>
              </w:rPr>
              <w:br/>
              <w:t>- Working in an international and interdisciplinary environment.</w:t>
            </w:r>
            <w:r w:rsidRPr="00FF65BA">
              <w:rPr>
                <w:rFonts w:asciiTheme="majorHAnsi" w:hAnsiTheme="majorHAnsi"/>
                <w:sz w:val="22"/>
                <w:szCs w:val="22"/>
                <w:lang w:val="en-GB"/>
              </w:rPr>
              <w:br/>
              <w:t>- Respect for diversity, multiculturalism, and the natural environment.</w:t>
            </w:r>
            <w:r w:rsidRPr="00FF65BA">
              <w:rPr>
                <w:rFonts w:asciiTheme="majorHAnsi" w:hAnsiTheme="majorHAnsi"/>
                <w:sz w:val="22"/>
                <w:szCs w:val="22"/>
                <w:lang w:val="en-GB"/>
              </w:rPr>
              <w:br/>
              <w:t>- Social, professional, and ethical responsibility with sensitivity to gender issues.</w:t>
            </w:r>
            <w:r w:rsidRPr="00FF65BA">
              <w:rPr>
                <w:rFonts w:asciiTheme="majorHAnsi" w:hAnsiTheme="majorHAnsi"/>
                <w:sz w:val="22"/>
                <w:szCs w:val="22"/>
                <w:lang w:val="en-GB"/>
              </w:rPr>
              <w:br/>
              <w:t>- Critical thinking and self-criticism.</w:t>
            </w:r>
            <w:r w:rsidRPr="00FF65BA">
              <w:rPr>
                <w:rFonts w:asciiTheme="majorHAnsi" w:hAnsiTheme="majorHAnsi"/>
                <w:sz w:val="22"/>
                <w:szCs w:val="22"/>
                <w:lang w:val="en-GB"/>
              </w:rPr>
              <w:br/>
              <w:t>- Promotion of free, creative, and inductive thinking.</w:t>
            </w:r>
          </w:p>
          <w:p w14:paraId="7616417C" w14:textId="77777777" w:rsidR="00004BD8" w:rsidRPr="00FF65BA" w:rsidRDefault="00004BD8" w:rsidP="00004BD8">
            <w:pPr>
              <w:rPr>
                <w:rFonts w:asciiTheme="majorHAnsi" w:hAnsiTheme="majorHAnsi"/>
                <w:sz w:val="22"/>
                <w:szCs w:val="22"/>
              </w:rPr>
            </w:pPr>
          </w:p>
          <w:p w14:paraId="17C98EAF" w14:textId="77777777" w:rsidR="001B6432" w:rsidRPr="00FF65BA" w:rsidRDefault="001B6432" w:rsidP="00C822F5">
            <w:pPr>
              <w:widowControl w:val="0"/>
              <w:autoSpaceDE w:val="0"/>
              <w:autoSpaceDN w:val="0"/>
              <w:adjustRightInd w:val="0"/>
              <w:spacing w:after="60"/>
              <w:rPr>
                <w:rFonts w:asciiTheme="majorHAnsi" w:hAnsiTheme="majorHAnsi"/>
                <w:color w:val="002060"/>
                <w:sz w:val="22"/>
                <w:szCs w:val="22"/>
              </w:rPr>
            </w:pPr>
          </w:p>
          <w:p w14:paraId="2EE9FF34" w14:textId="77777777" w:rsidR="001B6432" w:rsidRDefault="001B6432" w:rsidP="00C822F5">
            <w:pPr>
              <w:widowControl w:val="0"/>
              <w:autoSpaceDE w:val="0"/>
              <w:autoSpaceDN w:val="0"/>
              <w:adjustRightInd w:val="0"/>
              <w:spacing w:after="60"/>
              <w:rPr>
                <w:rFonts w:ascii="Cambria" w:hAnsi="Cambria"/>
                <w:color w:val="002060"/>
                <w:lang w:val="en-GB"/>
              </w:rPr>
            </w:pP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3FD23A88" w14:textId="77777777" w:rsidR="00004BD8" w:rsidRPr="00FF65BA" w:rsidRDefault="00004BD8" w:rsidP="00FF65BA">
            <w:pPr>
              <w:spacing w:before="100" w:beforeAutospacing="1" w:after="100" w:afterAutospacing="1"/>
              <w:jc w:val="both"/>
              <w:rPr>
                <w:rFonts w:asciiTheme="majorHAnsi" w:hAnsiTheme="majorHAnsi"/>
                <w:color w:val="000000"/>
                <w:sz w:val="22"/>
                <w:szCs w:val="22"/>
                <w:lang w:val="en-GB" w:eastAsia="en-GB"/>
              </w:rPr>
            </w:pPr>
            <w:r w:rsidRPr="00FF65BA">
              <w:rPr>
                <w:rFonts w:asciiTheme="majorHAnsi" w:hAnsiTheme="majorHAnsi"/>
                <w:color w:val="000000"/>
                <w:sz w:val="22"/>
                <w:szCs w:val="22"/>
                <w:lang w:val="en-GB" w:eastAsia="en-GB"/>
              </w:rPr>
              <w:t xml:space="preserve">Students are trained at a clinical level in both normal and pathological conditions within the field of Obstetrics and Gynaecology across various departments and clinics of the hospital. These include Antenatal Ward, Postpartum Ward, Delivery Room, </w:t>
            </w:r>
            <w:proofErr w:type="spellStart"/>
            <w:r w:rsidRPr="00FF65BA">
              <w:rPr>
                <w:rFonts w:asciiTheme="majorHAnsi" w:hAnsiTheme="majorHAnsi"/>
                <w:color w:val="000000"/>
                <w:sz w:val="22"/>
                <w:szCs w:val="22"/>
                <w:lang w:val="en-GB" w:eastAsia="en-GB"/>
              </w:rPr>
              <w:t>Fetal</w:t>
            </w:r>
            <w:proofErr w:type="spellEnd"/>
            <w:r w:rsidRPr="00FF65BA">
              <w:rPr>
                <w:rFonts w:asciiTheme="majorHAnsi" w:hAnsiTheme="majorHAnsi"/>
                <w:color w:val="000000"/>
                <w:sz w:val="22"/>
                <w:szCs w:val="22"/>
                <w:lang w:val="en-GB" w:eastAsia="en-GB"/>
              </w:rPr>
              <w:t xml:space="preserve">-Maternal </w:t>
            </w:r>
            <w:proofErr w:type="gramStart"/>
            <w:r w:rsidRPr="00FF65BA">
              <w:rPr>
                <w:rFonts w:asciiTheme="majorHAnsi" w:hAnsiTheme="majorHAnsi"/>
                <w:color w:val="000000"/>
                <w:sz w:val="22"/>
                <w:szCs w:val="22"/>
                <w:lang w:val="en-GB" w:eastAsia="en-GB"/>
              </w:rPr>
              <w:t>Medicine ,</w:t>
            </w:r>
            <w:proofErr w:type="gramEnd"/>
            <w:r w:rsidRPr="00FF65BA">
              <w:rPr>
                <w:rFonts w:asciiTheme="majorHAnsi" w:hAnsiTheme="majorHAnsi"/>
                <w:color w:val="000000"/>
                <w:sz w:val="22"/>
                <w:szCs w:val="22"/>
                <w:lang w:val="en-GB" w:eastAsia="en-GB"/>
              </w:rPr>
              <w:t xml:space="preserve"> Women’s Health Laboratory, Gynaecology , Gynaecological Oncology Department, Gynaecological Endoscopy Department, and clinics such as Obstetrics, Gynaecology, Breast Pathology and Surgery, Colposcopy and Cervical Pathology, Reproductive Endocrinology, </w:t>
            </w:r>
            <w:proofErr w:type="spellStart"/>
            <w:r w:rsidRPr="00FF65BA">
              <w:rPr>
                <w:rFonts w:asciiTheme="majorHAnsi" w:hAnsiTheme="majorHAnsi"/>
                <w:color w:val="000000"/>
                <w:sz w:val="22"/>
                <w:szCs w:val="22"/>
                <w:lang w:val="en-GB" w:eastAsia="en-GB"/>
              </w:rPr>
              <w:t>Pediatric</w:t>
            </w:r>
            <w:proofErr w:type="spellEnd"/>
            <w:r w:rsidRPr="00FF65BA">
              <w:rPr>
                <w:rFonts w:asciiTheme="majorHAnsi" w:hAnsiTheme="majorHAnsi"/>
                <w:color w:val="000000"/>
                <w:sz w:val="22"/>
                <w:szCs w:val="22"/>
                <w:lang w:val="en-GB" w:eastAsia="en-GB"/>
              </w:rPr>
              <w:t xml:space="preserve"> and Adolescent Gynaecology, and Family Planning.</w:t>
            </w:r>
          </w:p>
          <w:p w14:paraId="146D8866" w14:textId="38D793E6" w:rsidR="001B6432" w:rsidRPr="00FF65BA" w:rsidRDefault="00004BD8" w:rsidP="00FF65BA">
            <w:pPr>
              <w:spacing w:before="100" w:beforeAutospacing="1" w:after="100" w:afterAutospacing="1"/>
              <w:jc w:val="both"/>
              <w:rPr>
                <w:rFonts w:asciiTheme="majorHAnsi" w:hAnsiTheme="majorHAnsi"/>
                <w:color w:val="000000"/>
                <w:sz w:val="22"/>
                <w:szCs w:val="22"/>
                <w:lang w:val="en-GB" w:eastAsia="en-GB"/>
              </w:rPr>
            </w:pPr>
            <w:r w:rsidRPr="00FF65BA">
              <w:rPr>
                <w:rFonts w:asciiTheme="majorHAnsi" w:hAnsiTheme="majorHAnsi"/>
                <w:color w:val="000000"/>
                <w:sz w:val="22"/>
                <w:szCs w:val="22"/>
                <w:lang w:val="en-GB" w:eastAsia="en-GB"/>
              </w:rPr>
              <w:t>Students participate in various activities in Delivery Suite, as well as in obstetric and gynaecological surgeries. They also take on-call shifts alongside the clinic’s resident doctors. Students record their clinical practice in a logbook and attend as well as participate in lectures and postgraduate training courses offered by the clinic.</w:t>
            </w:r>
          </w:p>
          <w:p w14:paraId="067B46EF" w14:textId="451634E1" w:rsidR="00D21E0C" w:rsidRPr="00004BD8" w:rsidRDefault="00D21E0C" w:rsidP="00D21E0C">
            <w:pPr>
              <w:rPr>
                <w:lang w:val="en-GB"/>
              </w:rPr>
            </w:pPr>
          </w:p>
        </w:tc>
      </w:tr>
    </w:tbl>
    <w:p w14:paraId="05719DFE" w14:textId="77777777" w:rsidR="00055F53" w:rsidRPr="00004BD8"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6A3F6B4A" w14:textId="144D231A" w:rsidR="001B6432" w:rsidRPr="00FF65BA" w:rsidRDefault="00C80BDF" w:rsidP="00C80BDF">
            <w:pPr>
              <w:spacing w:after="200"/>
              <w:jc w:val="both"/>
              <w:rPr>
                <w:rFonts w:asciiTheme="majorHAnsi" w:hAnsiTheme="majorHAnsi"/>
                <w:sz w:val="22"/>
                <w:szCs w:val="22"/>
              </w:rPr>
            </w:pPr>
            <w:r w:rsidRPr="00FF65BA">
              <w:rPr>
                <w:rFonts w:asciiTheme="majorHAnsi" w:hAnsiTheme="majorHAnsi"/>
                <w:sz w:val="22"/>
                <w:szCs w:val="22"/>
              </w:rPr>
              <w:t xml:space="preserve"> </w:t>
            </w:r>
            <w:r w:rsidR="00004BD8" w:rsidRPr="00FF65BA">
              <w:rPr>
                <w:rFonts w:asciiTheme="majorHAnsi" w:hAnsiTheme="majorHAnsi"/>
                <w:sz w:val="22"/>
                <w:szCs w:val="22"/>
              </w:rPr>
              <w:t>Face-to-face</w:t>
            </w:r>
          </w:p>
          <w:p w14:paraId="797AB986" w14:textId="1AB02E5D" w:rsidR="00004BD8" w:rsidRPr="00FF65BA" w:rsidRDefault="00004BD8" w:rsidP="00C80BDF">
            <w:pPr>
              <w:spacing w:after="200"/>
              <w:jc w:val="both"/>
              <w:rPr>
                <w:rFonts w:asciiTheme="majorHAnsi" w:hAnsiTheme="majorHAnsi"/>
                <w:sz w:val="22"/>
                <w:szCs w:val="22"/>
              </w:rPr>
            </w:pPr>
            <w:r w:rsidRPr="00FF65BA">
              <w:rPr>
                <w:rFonts w:asciiTheme="majorHAnsi" w:hAnsiTheme="majorHAnsi"/>
                <w:sz w:val="22"/>
                <w:szCs w:val="22"/>
              </w:rPr>
              <w:t>Small Groups</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77777777" w:rsidR="005D23EB" w:rsidRPr="00FF65BA" w:rsidRDefault="005D23EB" w:rsidP="00C80BDF">
            <w:pPr>
              <w:jc w:val="both"/>
              <w:rPr>
                <w:rFonts w:asciiTheme="majorHAnsi" w:hAnsiTheme="majorHAnsi" w:cs="Arial"/>
                <w:color w:val="002060"/>
                <w:sz w:val="22"/>
                <w:szCs w:val="22"/>
                <w:lang w:val="en-GB"/>
              </w:rPr>
            </w:pPr>
          </w:p>
          <w:p w14:paraId="1765CDEB" w14:textId="226F9AA5" w:rsidR="001B6432" w:rsidRPr="00FF65BA" w:rsidRDefault="00004BD8" w:rsidP="00C80BDF">
            <w:pPr>
              <w:jc w:val="both"/>
              <w:rPr>
                <w:rFonts w:asciiTheme="majorHAnsi" w:hAnsiTheme="majorHAnsi" w:cs="Arial"/>
                <w:color w:val="002060"/>
                <w:sz w:val="22"/>
                <w:szCs w:val="22"/>
              </w:rPr>
            </w:pPr>
            <w:r w:rsidRPr="00FF65BA">
              <w:rPr>
                <w:rFonts w:asciiTheme="majorHAnsi" w:hAnsiTheme="majorHAnsi"/>
                <w:sz w:val="22"/>
                <w:szCs w:val="22"/>
              </w:rPr>
              <w:t>Computers for lectures and bibliographic research</w:t>
            </w:r>
            <w:r w:rsidRPr="00FF65BA">
              <w:rPr>
                <w:rFonts w:asciiTheme="majorHAnsi" w:hAnsiTheme="majorHAnsi"/>
                <w:sz w:val="22"/>
                <w:szCs w:val="22"/>
              </w:rPr>
              <w:br/>
            </w:r>
          </w:p>
          <w:p w14:paraId="42B825A0" w14:textId="7AC6EDA1" w:rsidR="001B6432" w:rsidRPr="00FF65BA" w:rsidRDefault="001B6432" w:rsidP="00C80BDF">
            <w:pPr>
              <w:jc w:val="both"/>
              <w:rPr>
                <w:rFonts w:asciiTheme="majorHAnsi" w:hAnsiTheme="majorHAnsi" w:cs="Arial"/>
                <w:color w:val="002060"/>
                <w:sz w:val="22"/>
                <w:szCs w:val="22"/>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FF65BA"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FF65BA" w:rsidRDefault="005D23EB" w:rsidP="00206BAF">
                  <w:pPr>
                    <w:jc w:val="center"/>
                    <w:rPr>
                      <w:rFonts w:asciiTheme="majorHAnsi" w:hAnsiTheme="majorHAnsi" w:cs="Arial"/>
                      <w:b/>
                      <w:i/>
                      <w:sz w:val="22"/>
                      <w:szCs w:val="22"/>
                      <w:lang w:val="en-GB"/>
                    </w:rPr>
                  </w:pPr>
                  <w:r w:rsidRPr="00FF65BA">
                    <w:rPr>
                      <w:rFonts w:asciiTheme="majorHAnsi" w:hAnsiTheme="majorHAnsi" w:cs="Arial"/>
                      <w:b/>
                      <w:i/>
                      <w:sz w:val="22"/>
                      <w:szCs w:val="22"/>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FF65BA" w:rsidRDefault="00FB311C" w:rsidP="00206BAF">
                  <w:pPr>
                    <w:jc w:val="center"/>
                    <w:rPr>
                      <w:rFonts w:asciiTheme="majorHAnsi" w:hAnsiTheme="majorHAnsi" w:cs="Arial"/>
                      <w:b/>
                      <w:i/>
                      <w:sz w:val="22"/>
                      <w:szCs w:val="22"/>
                      <w:lang w:val="en-GB"/>
                    </w:rPr>
                  </w:pPr>
                  <w:r w:rsidRPr="00FF65BA">
                    <w:rPr>
                      <w:rFonts w:asciiTheme="majorHAnsi" w:hAnsiTheme="majorHAnsi" w:cs="Arial"/>
                      <w:b/>
                      <w:i/>
                      <w:sz w:val="22"/>
                      <w:szCs w:val="22"/>
                    </w:rPr>
                    <w:t>W</w:t>
                  </w:r>
                  <w:proofErr w:type="spellStart"/>
                  <w:r w:rsidRPr="00FF65BA">
                    <w:rPr>
                      <w:rFonts w:asciiTheme="majorHAnsi" w:hAnsiTheme="majorHAnsi" w:cs="Arial"/>
                      <w:b/>
                      <w:i/>
                      <w:sz w:val="22"/>
                      <w:szCs w:val="22"/>
                      <w:lang w:val="en-GB"/>
                    </w:rPr>
                    <w:t>orkload</w:t>
                  </w:r>
                  <w:proofErr w:type="spellEnd"/>
                  <w:r w:rsidRPr="00FF65BA">
                    <w:rPr>
                      <w:rFonts w:asciiTheme="majorHAnsi" w:hAnsiTheme="majorHAnsi" w:cs="Arial"/>
                      <w:b/>
                      <w:i/>
                      <w:sz w:val="22"/>
                      <w:szCs w:val="22"/>
                      <w:lang w:val="en-GB"/>
                    </w:rPr>
                    <w:t xml:space="preserve"> of each students group </w:t>
                  </w:r>
                </w:p>
              </w:tc>
            </w:tr>
            <w:tr w:rsidR="005D23EB" w:rsidRPr="00FF65BA"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19BC5423" w:rsidR="005D23EB" w:rsidRPr="00FF65BA" w:rsidRDefault="00004BD8" w:rsidP="00C822F5">
                  <w:pPr>
                    <w:rPr>
                      <w:rFonts w:asciiTheme="majorHAnsi" w:hAnsiTheme="majorHAnsi"/>
                      <w:iCs/>
                      <w:color w:val="002060"/>
                      <w:sz w:val="22"/>
                      <w:szCs w:val="22"/>
                    </w:rPr>
                  </w:pPr>
                  <w:r w:rsidRPr="00FF65BA">
                    <w:rPr>
                      <w:rFonts w:asciiTheme="majorHAnsi" w:hAnsiTheme="majorHAnsi"/>
                      <w:sz w:val="22"/>
                      <w:szCs w:val="22"/>
                    </w:rPr>
                    <w:t>- Lectures</w:t>
                  </w:r>
                  <w:r w:rsidRPr="00FF65BA">
                    <w:rPr>
                      <w:rFonts w:asciiTheme="majorHAnsi" w:hAnsiTheme="majorHAnsi"/>
                      <w:sz w:val="22"/>
                      <w:szCs w:val="22"/>
                    </w:rPr>
                    <w:br/>
                    <w:t>- Seminars</w:t>
                  </w:r>
                  <w:r w:rsidRPr="00FF65BA">
                    <w:rPr>
                      <w:rFonts w:asciiTheme="majorHAnsi" w:hAnsiTheme="majorHAnsi"/>
                      <w:sz w:val="22"/>
                      <w:szCs w:val="22"/>
                    </w:rPr>
                    <w:br/>
                    <w:t>- Laboratory Practice</w:t>
                  </w:r>
                  <w:r w:rsidRPr="00FF65BA">
                    <w:rPr>
                      <w:rFonts w:asciiTheme="majorHAnsi" w:hAnsiTheme="majorHAnsi"/>
                      <w:sz w:val="22"/>
                      <w:szCs w:val="22"/>
                    </w:rPr>
                    <w:br/>
                    <w:t>- Field Practice</w:t>
                  </w:r>
                  <w:r w:rsidRPr="00FF65BA">
                    <w:rPr>
                      <w:rFonts w:asciiTheme="majorHAnsi" w:hAnsiTheme="majorHAnsi"/>
                      <w:sz w:val="22"/>
                      <w:szCs w:val="22"/>
                    </w:rPr>
                    <w:br/>
                    <w:t>- Bibliography Study &amp; Analysis</w:t>
                  </w:r>
                  <w:r w:rsidRPr="00FF65BA">
                    <w:rPr>
                      <w:rFonts w:asciiTheme="majorHAnsi" w:hAnsiTheme="majorHAnsi"/>
                      <w:sz w:val="22"/>
                      <w:szCs w:val="22"/>
                    </w:rPr>
                    <w:br/>
                    <w:t>- Tutorials</w:t>
                  </w:r>
                  <w:r w:rsidRPr="00FF65BA">
                    <w:rPr>
                      <w:rFonts w:asciiTheme="majorHAnsi" w:hAnsiTheme="majorHAnsi"/>
                      <w:sz w:val="22"/>
                      <w:szCs w:val="22"/>
                    </w:rPr>
                    <w:br/>
                    <w:t>- Practical Placements</w:t>
                  </w:r>
                  <w:r w:rsidRPr="00FF65BA">
                    <w:rPr>
                      <w:rFonts w:asciiTheme="majorHAnsi" w:hAnsiTheme="majorHAnsi"/>
                      <w:sz w:val="22"/>
                      <w:szCs w:val="22"/>
                    </w:rPr>
                    <w:br/>
                    <w:t>- Clinical Practice</w:t>
                  </w:r>
                  <w:r w:rsidRPr="00FF65BA">
                    <w:rPr>
                      <w:rFonts w:asciiTheme="majorHAnsi" w:hAnsiTheme="majorHAnsi"/>
                      <w:sz w:val="22"/>
                      <w:szCs w:val="22"/>
                    </w:rPr>
                    <w:br/>
                    <w:t>- Interactive Teaching</w:t>
                  </w:r>
                  <w:r w:rsidRPr="00FF65BA">
                    <w:rPr>
                      <w:rFonts w:asciiTheme="majorHAnsi" w:hAnsiTheme="majorHAnsi"/>
                      <w:sz w:val="22"/>
                      <w:szCs w:val="22"/>
                    </w:rPr>
                    <w:br/>
                    <w:t>- Educational Visits</w:t>
                  </w:r>
                  <w:r w:rsidRPr="00FF65BA">
                    <w:rPr>
                      <w:rFonts w:asciiTheme="majorHAnsi" w:hAnsiTheme="majorHAnsi"/>
                      <w:sz w:val="22"/>
                      <w:szCs w:val="22"/>
                    </w:rPr>
                    <w:br/>
                  </w:r>
                </w:p>
              </w:tc>
              <w:tc>
                <w:tcPr>
                  <w:tcW w:w="2468" w:type="dxa"/>
                  <w:tcBorders>
                    <w:top w:val="single" w:sz="4" w:space="0" w:color="auto"/>
                    <w:left w:val="single" w:sz="4" w:space="0" w:color="auto"/>
                    <w:bottom w:val="single" w:sz="4" w:space="0" w:color="auto"/>
                    <w:right w:val="single" w:sz="4" w:space="0" w:color="auto"/>
                  </w:tcBorders>
                </w:tcPr>
                <w:p w14:paraId="0A1D999F" w14:textId="5529E6BF" w:rsidR="00004BD8" w:rsidRPr="00FF65BA" w:rsidRDefault="00004BD8" w:rsidP="00004BD8">
                  <w:pPr>
                    <w:rPr>
                      <w:rFonts w:asciiTheme="majorHAnsi" w:hAnsiTheme="majorHAnsi"/>
                      <w:sz w:val="22"/>
                      <w:szCs w:val="22"/>
                    </w:rPr>
                  </w:pPr>
                  <w:r w:rsidRPr="00FF65BA">
                    <w:rPr>
                      <w:rFonts w:asciiTheme="majorHAnsi" w:hAnsiTheme="majorHAnsi" w:cs="Arial"/>
                      <w:color w:val="002060"/>
                      <w:sz w:val="22"/>
                      <w:szCs w:val="22"/>
                      <w:lang w:val="en-GB"/>
                    </w:rPr>
                    <w:t>-</w:t>
                  </w:r>
                  <w:r w:rsidRPr="00FF65BA">
                    <w:rPr>
                      <w:rFonts w:asciiTheme="majorHAnsi" w:hAnsiTheme="majorHAnsi"/>
                      <w:sz w:val="22"/>
                      <w:szCs w:val="22"/>
                    </w:rPr>
                    <w:t xml:space="preserve"> Tutorial Lectures: 66 hours</w:t>
                  </w:r>
                  <w:r w:rsidRPr="00FF65BA">
                    <w:rPr>
                      <w:rFonts w:asciiTheme="majorHAnsi" w:hAnsiTheme="majorHAnsi"/>
                      <w:sz w:val="22"/>
                      <w:szCs w:val="22"/>
                    </w:rPr>
                    <w:br/>
                    <w:t>- Practical Training: 280 hours</w:t>
                  </w:r>
                </w:p>
                <w:p w14:paraId="79DE35CB" w14:textId="5F96257B" w:rsidR="00004BD8" w:rsidRPr="00FF65BA" w:rsidRDefault="00004BD8" w:rsidP="00004BD8">
                  <w:pPr>
                    <w:rPr>
                      <w:rFonts w:asciiTheme="majorHAnsi" w:hAnsiTheme="majorHAnsi"/>
                      <w:sz w:val="22"/>
                      <w:szCs w:val="22"/>
                    </w:rPr>
                  </w:pPr>
                  <w:r w:rsidRPr="00FF65BA">
                    <w:rPr>
                      <w:rFonts w:asciiTheme="majorHAnsi" w:hAnsiTheme="majorHAnsi"/>
                      <w:sz w:val="22"/>
                      <w:szCs w:val="22"/>
                    </w:rPr>
                    <w:t>- Study during clinical practice: 50 hours</w:t>
                  </w:r>
                  <w:r w:rsidRPr="00FF65BA">
                    <w:rPr>
                      <w:rFonts w:asciiTheme="majorHAnsi" w:hAnsiTheme="majorHAnsi"/>
                      <w:sz w:val="22"/>
                      <w:szCs w:val="22"/>
                    </w:rPr>
                    <w:br/>
                    <w:t>- Examination: 3 hours</w:t>
                  </w:r>
                  <w:r w:rsidRPr="00FF65BA">
                    <w:rPr>
                      <w:rFonts w:asciiTheme="majorHAnsi" w:hAnsiTheme="majorHAnsi"/>
                      <w:sz w:val="22"/>
                      <w:szCs w:val="22"/>
                    </w:rPr>
                    <w:br/>
                  </w:r>
                </w:p>
                <w:p w14:paraId="4C554DFC" w14:textId="2C9B1964" w:rsidR="005D23EB" w:rsidRPr="00FF65BA" w:rsidRDefault="005D23EB" w:rsidP="00206BAF">
                  <w:pPr>
                    <w:jc w:val="center"/>
                    <w:rPr>
                      <w:rFonts w:asciiTheme="majorHAnsi" w:hAnsiTheme="majorHAnsi" w:cs="Arial"/>
                      <w:color w:val="002060"/>
                      <w:sz w:val="22"/>
                      <w:szCs w:val="22"/>
                    </w:rPr>
                  </w:pPr>
                </w:p>
              </w:tc>
            </w:tr>
            <w:tr w:rsidR="005C2432" w:rsidRPr="00FF65BA"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1F588340" w:rsidR="005C2432" w:rsidRPr="00FF65BA" w:rsidRDefault="00004BD8" w:rsidP="005C2432">
                  <w:pPr>
                    <w:rPr>
                      <w:rFonts w:asciiTheme="majorHAnsi" w:hAnsiTheme="majorHAnsi"/>
                      <w:iCs/>
                      <w:color w:val="002060"/>
                      <w:sz w:val="22"/>
                      <w:szCs w:val="22"/>
                      <w:lang w:val="en-GB"/>
                    </w:rPr>
                  </w:pPr>
                  <w:r w:rsidRPr="00FF65BA">
                    <w:rPr>
                      <w:rFonts w:asciiTheme="majorHAnsi" w:hAnsiTheme="majorHAnsi"/>
                      <w:iCs/>
                      <w:color w:val="002060"/>
                      <w:sz w:val="22"/>
                      <w:szCs w:val="22"/>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21FAE045" w:rsidR="005C2432" w:rsidRPr="00FF65BA" w:rsidRDefault="00004BD8" w:rsidP="005C2432">
                  <w:pPr>
                    <w:jc w:val="center"/>
                    <w:rPr>
                      <w:rFonts w:asciiTheme="majorHAnsi" w:hAnsiTheme="majorHAnsi" w:cs="Arial"/>
                      <w:b/>
                      <w:i/>
                      <w:color w:val="002060"/>
                      <w:sz w:val="22"/>
                      <w:szCs w:val="22"/>
                      <w:lang w:val="en-GB"/>
                    </w:rPr>
                  </w:pPr>
                  <w:r w:rsidRPr="00FF65BA">
                    <w:rPr>
                      <w:rFonts w:asciiTheme="majorHAnsi" w:hAnsiTheme="majorHAnsi"/>
                      <w:sz w:val="22"/>
                      <w:szCs w:val="22"/>
                    </w:rPr>
                    <w:t>479 hours</w:t>
                  </w:r>
                </w:p>
              </w:tc>
            </w:tr>
          </w:tbl>
          <w:p w14:paraId="6612E959" w14:textId="77777777" w:rsidR="005D23EB" w:rsidRPr="00FF65BA" w:rsidRDefault="005D23EB" w:rsidP="00C822F5">
            <w:pPr>
              <w:rPr>
                <w:rFonts w:asciiTheme="majorHAnsi" w:hAnsiTheme="majorHAnsi" w:cs="Tahoma"/>
                <w:sz w:val="22"/>
                <w:szCs w:val="22"/>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lastRenderedPageBreak/>
              <w:t>Specifically-defined evaluation criteria are given, and if and where they are accessible to students.</w:t>
            </w:r>
          </w:p>
        </w:tc>
        <w:tc>
          <w:tcPr>
            <w:tcW w:w="5166" w:type="dxa"/>
          </w:tcPr>
          <w:p w14:paraId="7DC1776D" w14:textId="7A20F0F9" w:rsidR="00F939F2" w:rsidRPr="00FF65BA" w:rsidRDefault="00F939F2" w:rsidP="00C822F5">
            <w:pPr>
              <w:rPr>
                <w:rFonts w:asciiTheme="majorHAnsi" w:hAnsiTheme="majorHAnsi" w:cs="Arial"/>
                <w:color w:val="002060"/>
                <w:sz w:val="22"/>
                <w:szCs w:val="22"/>
                <w:lang w:val="en-GB"/>
              </w:rPr>
            </w:pPr>
          </w:p>
          <w:p w14:paraId="71566BF2" w14:textId="77777777" w:rsidR="00004BD8" w:rsidRPr="00FF65BA" w:rsidRDefault="00004BD8" w:rsidP="00004BD8">
            <w:pPr>
              <w:rPr>
                <w:rFonts w:asciiTheme="majorHAnsi" w:hAnsiTheme="majorHAnsi"/>
                <w:sz w:val="22"/>
                <w:szCs w:val="22"/>
              </w:rPr>
            </w:pPr>
            <w:r w:rsidRPr="00FF65BA">
              <w:rPr>
                <w:rFonts w:asciiTheme="majorHAnsi" w:hAnsiTheme="majorHAnsi"/>
                <w:sz w:val="22"/>
                <w:szCs w:val="22"/>
              </w:rPr>
              <w:t>- Oral examinations (90%)</w:t>
            </w:r>
            <w:r w:rsidRPr="00FF65BA">
              <w:rPr>
                <w:rFonts w:asciiTheme="majorHAnsi" w:hAnsiTheme="majorHAnsi"/>
                <w:sz w:val="22"/>
                <w:szCs w:val="22"/>
              </w:rPr>
              <w:br/>
              <w:t>- Group oral presentations (10%)</w:t>
            </w:r>
          </w:p>
          <w:p w14:paraId="1B781362" w14:textId="77777777" w:rsidR="00004BD8" w:rsidRPr="00FF65BA" w:rsidRDefault="00004BD8" w:rsidP="00004BD8">
            <w:pPr>
              <w:rPr>
                <w:rFonts w:asciiTheme="majorHAnsi" w:hAnsiTheme="majorHAnsi"/>
                <w:sz w:val="22"/>
                <w:szCs w:val="22"/>
              </w:rPr>
            </w:pPr>
          </w:p>
          <w:p w14:paraId="2BE7C690" w14:textId="77777777" w:rsidR="005D23EB" w:rsidRPr="00FF65BA" w:rsidRDefault="005D23EB" w:rsidP="005C2432">
            <w:pPr>
              <w:rPr>
                <w:rFonts w:asciiTheme="majorHAnsi" w:hAnsiTheme="majorHAnsi" w:cs="Arial"/>
                <w:color w:val="002060"/>
                <w:sz w:val="22"/>
                <w:szCs w:val="22"/>
              </w:rPr>
            </w:pPr>
          </w:p>
        </w:tc>
      </w:tr>
    </w:tbl>
    <w:p w14:paraId="71B71B72" w14:textId="77777777" w:rsidR="00FF65BA" w:rsidRDefault="00FF65BA" w:rsidP="00FF65BA">
      <w:pPr>
        <w:widowControl w:val="0"/>
        <w:autoSpaceDE w:val="0"/>
        <w:autoSpaceDN w:val="0"/>
        <w:adjustRightInd w:val="0"/>
        <w:spacing w:before="240" w:after="200" w:line="276" w:lineRule="auto"/>
        <w:ind w:left="357"/>
        <w:rPr>
          <w:rFonts w:ascii="Cambria" w:hAnsi="Cambria" w:cs="Arial"/>
          <w:b/>
          <w:color w:val="000000"/>
          <w:sz w:val="22"/>
          <w:szCs w:val="22"/>
          <w:lang w:val="en-GB"/>
        </w:rPr>
      </w:pPr>
    </w:p>
    <w:p w14:paraId="1617A610" w14:textId="07F8E00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bookmarkEnd w:id="0"/>
    <w:p w14:paraId="112B0FA4" w14:textId="77777777" w:rsidR="00004BD8" w:rsidRDefault="00004BD8" w:rsidP="00004BD8">
      <w:r w:rsidRPr="00004BD8">
        <w:rPr>
          <w:lang w:val="en-GB"/>
        </w:rPr>
        <w:t>- Obstetrics &amp; Gynecology by D. Loutradis, E. Deligeorglou, K. Pappas, N. Papantoniou (Broken Hill Publishers LTD)</w:t>
      </w:r>
      <w:r w:rsidRPr="00004BD8">
        <w:rPr>
          <w:lang w:val="en-GB"/>
        </w:rPr>
        <w:br/>
        <w:t xml:space="preserve">- CURRENT Care of Women’s Health by D.P. Lemcke et al. </w:t>
      </w:r>
      <w:r>
        <w:t>(</w:t>
      </w:r>
      <w:proofErr w:type="spellStart"/>
      <w:r>
        <w:t>Parisianou</w:t>
      </w:r>
      <w:proofErr w:type="spellEnd"/>
      <w:r>
        <w:t xml:space="preserve"> Publications)</w:t>
      </w:r>
    </w:p>
    <w:p w14:paraId="504AC803" w14:textId="77777777" w:rsidR="005D23EB" w:rsidRPr="0097115A" w:rsidRDefault="005D23EB" w:rsidP="00836326">
      <w:pPr>
        <w:rPr>
          <w:lang w:val="el-GR"/>
        </w:rPr>
      </w:pPr>
    </w:p>
    <w:sectPr w:rsidR="005D23EB" w:rsidRPr="0097115A"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D9C6" w14:textId="77777777" w:rsidR="0095165D" w:rsidRDefault="0095165D">
      <w:r>
        <w:separator/>
      </w:r>
    </w:p>
  </w:endnote>
  <w:endnote w:type="continuationSeparator" w:id="0">
    <w:p w14:paraId="13DB159A" w14:textId="77777777" w:rsidR="0095165D" w:rsidRDefault="0095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876810"/>
      <w:docPartObj>
        <w:docPartGallery w:val="Page Numbers (Bottom of Page)"/>
        <w:docPartUnique/>
      </w:docPartObj>
    </w:sdtPr>
    <w:sdtContent>
      <w:p w14:paraId="7740C1C8" w14:textId="62DCAAAB" w:rsidR="00FF65BA" w:rsidRDefault="00FF65BA">
        <w:pPr>
          <w:pStyle w:val="aa"/>
          <w:jc w:val="center"/>
        </w:pPr>
        <w:r>
          <w:fldChar w:fldCharType="begin"/>
        </w:r>
        <w:r>
          <w:instrText>PAGE   \* MERGEFORMAT</w:instrText>
        </w:r>
        <w:r>
          <w:fldChar w:fldCharType="separate"/>
        </w:r>
        <w:r>
          <w:rPr>
            <w:lang w:val="el-GR"/>
          </w:rPr>
          <w:t>2</w:t>
        </w:r>
        <w:r>
          <w:fldChar w:fldCharType="end"/>
        </w:r>
      </w:p>
    </w:sdtContent>
  </w:sdt>
  <w:p w14:paraId="749AD6D4" w14:textId="77777777" w:rsidR="00FF65BA" w:rsidRDefault="00FF65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9B95" w14:textId="77777777" w:rsidR="0095165D" w:rsidRDefault="0095165D">
      <w:r>
        <w:separator/>
      </w:r>
    </w:p>
  </w:footnote>
  <w:footnote w:type="continuationSeparator" w:id="0">
    <w:p w14:paraId="5E9F7DE1" w14:textId="77777777" w:rsidR="0095165D" w:rsidRDefault="0095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5B03" w14:textId="0CF2F0AD" w:rsidR="00293C01" w:rsidRDefault="00293C01">
    <w:pPr>
      <w:pStyle w:val="a6"/>
      <w:jc w:val="right"/>
    </w:pPr>
  </w:p>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6478B"/>
    <w:multiLevelType w:val="hybridMultilevel"/>
    <w:tmpl w:val="DCF68C64"/>
    <w:lvl w:ilvl="0" w:tplc="6632FD4C">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4"/>
  </w:num>
  <w:num w:numId="2" w16cid:durableId="1846556164">
    <w:abstractNumId w:val="10"/>
  </w:num>
  <w:num w:numId="3" w16cid:durableId="588274483">
    <w:abstractNumId w:val="6"/>
  </w:num>
  <w:num w:numId="4" w16cid:durableId="1012952648">
    <w:abstractNumId w:val="9"/>
  </w:num>
  <w:num w:numId="5" w16cid:durableId="538978403">
    <w:abstractNumId w:val="8"/>
  </w:num>
  <w:num w:numId="6" w16cid:durableId="586697185">
    <w:abstractNumId w:val="5"/>
  </w:num>
  <w:num w:numId="7" w16cid:durableId="352609905">
    <w:abstractNumId w:val="7"/>
  </w:num>
  <w:num w:numId="8" w16cid:durableId="1928033746">
    <w:abstractNumId w:val="2"/>
  </w:num>
  <w:num w:numId="9" w16cid:durableId="1931041878">
    <w:abstractNumId w:val="3"/>
  </w:num>
  <w:num w:numId="10" w16cid:durableId="1098020124">
    <w:abstractNumId w:val="0"/>
  </w:num>
  <w:num w:numId="11" w16cid:durableId="142495396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BD8"/>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569FB"/>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28DB"/>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6FB4"/>
    <w:rsid w:val="00927BCD"/>
    <w:rsid w:val="00927F42"/>
    <w:rsid w:val="00936764"/>
    <w:rsid w:val="00936B3E"/>
    <w:rsid w:val="00937B68"/>
    <w:rsid w:val="00940890"/>
    <w:rsid w:val="00941C82"/>
    <w:rsid w:val="00945FB5"/>
    <w:rsid w:val="00946979"/>
    <w:rsid w:val="00947099"/>
    <w:rsid w:val="00947CDE"/>
    <w:rsid w:val="009501E8"/>
    <w:rsid w:val="0095165D"/>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65BA"/>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356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8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830</Words>
  <Characters>5412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2025-01-19T09:25:00Z</dcterms:created>
  <dcterms:modified xsi:type="dcterms:W3CDTF">2025-01-19T19:19:00Z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